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F2" w:rsidRDefault="001D5D11">
      <w:pPr>
        <w:pStyle w:val="BodyText"/>
        <w:ind w:left="5327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2826082" cy="833437"/>
            <wp:effectExtent l="0" t="0" r="0" b="5080"/>
            <wp:docPr id="1" name="image1.jpeg" title="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082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FF2" w:rsidRDefault="00430FF2">
      <w:pPr>
        <w:pStyle w:val="BodyText"/>
        <w:spacing w:before="6"/>
        <w:ind w:left="0"/>
        <w:rPr>
          <w:sz w:val="21"/>
        </w:rPr>
      </w:pPr>
    </w:p>
    <w:p w:rsidR="00430FF2" w:rsidRDefault="001D5D11">
      <w:pPr>
        <w:pStyle w:val="BodyText"/>
        <w:spacing w:before="90"/>
        <w:ind w:left="0" w:right="153"/>
        <w:jc w:val="right"/>
      </w:pPr>
      <w:r>
        <w:t>10 November 2020</w:t>
      </w:r>
    </w:p>
    <w:p w:rsidR="00430FF2" w:rsidRDefault="001D5D11">
      <w:pPr>
        <w:pStyle w:val="BodyText"/>
        <w:spacing w:before="180"/>
      </w:pPr>
      <w:r>
        <w:t>Dear Principal,</w:t>
      </w:r>
    </w:p>
    <w:p w:rsidR="00430FF2" w:rsidRDefault="001D5D11">
      <w:pPr>
        <w:pStyle w:val="BodyText"/>
        <w:spacing w:before="182"/>
      </w:pPr>
      <w:r>
        <w:rPr>
          <w:w w:val="105"/>
        </w:rPr>
        <w:t>Data Protection Training for Schools</w:t>
      </w:r>
    </w:p>
    <w:p w:rsidR="00430FF2" w:rsidRDefault="001D5D11">
      <w:pPr>
        <w:pStyle w:val="BodyText"/>
        <w:spacing w:before="180" w:line="292" w:lineRule="auto"/>
        <w:ind w:right="150"/>
        <w:jc w:val="both"/>
      </w:pPr>
      <w:r>
        <w:t>The Education Authority’s Information Governance Unit has developed two training videos in relation to the General Data Protection Regulation (GDPR) and Data Security for all teaching and non-teaching staff (including any volunteers) working in schools, an</w:t>
      </w:r>
      <w:r>
        <w:t>d for school governors. These training</w:t>
      </w:r>
      <w:r>
        <w:rPr>
          <w:spacing w:val="-13"/>
        </w:rPr>
        <w:t xml:space="preserve"> </w:t>
      </w:r>
      <w:r>
        <w:t>videos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added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hyperlink r:id="rId5">
        <w:r>
          <w:rPr>
            <w:color w:val="0000FF"/>
            <w:u w:val="single" w:color="0000FF"/>
          </w:rPr>
          <w:t>Videos</w:t>
        </w:r>
        <w:r>
          <w:rPr>
            <w:color w:val="0000FF"/>
            <w:spacing w:val="-15"/>
          </w:rPr>
          <w:t xml:space="preserve"> </w:t>
        </w:r>
        <w:r>
          <w:rPr>
            <w:color w:val="0000FF"/>
            <w:u w:val="single" w:color="0000FF"/>
          </w:rPr>
          <w:t>&amp;</w:t>
        </w:r>
        <w:r>
          <w:rPr>
            <w:color w:val="0000FF"/>
            <w:spacing w:val="-16"/>
          </w:rPr>
          <w:t xml:space="preserve"> </w:t>
        </w:r>
        <w:r>
          <w:rPr>
            <w:color w:val="0000FF"/>
            <w:u w:val="single" w:color="0000FF"/>
          </w:rPr>
          <w:t>Presentations</w:t>
        </w:r>
        <w:r>
          <w:rPr>
            <w:color w:val="0000FF"/>
            <w:spacing w:val="35"/>
          </w:rPr>
          <w:t xml:space="preserve"> </w:t>
        </w:r>
      </w:hyperlink>
      <w:r>
        <w:t>section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6">
        <w:r>
          <w:rPr>
            <w:color w:val="0000FF"/>
            <w:u w:val="single" w:color="0000FF"/>
          </w:rPr>
          <w:t>EA’s</w:t>
        </w:r>
        <w:r>
          <w:rPr>
            <w:color w:val="0000FF"/>
            <w:spacing w:val="-16"/>
          </w:rPr>
          <w:t xml:space="preserve"> </w:t>
        </w:r>
        <w:r>
          <w:rPr>
            <w:color w:val="0000FF"/>
            <w:u w:val="single" w:color="0000FF"/>
          </w:rPr>
          <w:t>Think</w:t>
        </w:r>
        <w:r>
          <w:rPr>
            <w:color w:val="0000FF"/>
            <w:spacing w:val="-12"/>
          </w:rPr>
          <w:t xml:space="preserve"> </w:t>
        </w:r>
        <w:r>
          <w:rPr>
            <w:color w:val="0000FF"/>
            <w:u w:val="single" w:color="0000FF"/>
          </w:rPr>
          <w:t>Data</w:t>
        </w:r>
        <w:r>
          <w:rPr>
            <w:color w:val="0000FF"/>
            <w:spacing w:val="-12"/>
          </w:rPr>
          <w:t xml:space="preserve"> </w:t>
        </w:r>
        <w:r>
          <w:rPr>
            <w:color w:val="0000FF"/>
            <w:u w:val="single" w:color="0000FF"/>
          </w:rPr>
          <w:t>Online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Resource Hub</w:t>
        </w:r>
      </w:hyperlink>
      <w:r>
        <w:rPr>
          <w:color w:val="0000FF"/>
        </w:rPr>
        <w:t xml:space="preserve"> </w:t>
      </w:r>
      <w:r>
        <w:t>on EA’s</w:t>
      </w:r>
      <w:r>
        <w:rPr>
          <w:spacing w:val="-35"/>
        </w:rPr>
        <w:t xml:space="preserve"> </w:t>
      </w:r>
      <w:r>
        <w:t>website.</w:t>
      </w:r>
    </w:p>
    <w:p w:rsidR="00430FF2" w:rsidRDefault="001D5D11">
      <w:pPr>
        <w:pStyle w:val="BodyText"/>
        <w:spacing w:before="121"/>
      </w:pPr>
      <w:r>
        <w:t>Further information in relation to these training</w:t>
      </w:r>
      <w:r>
        <w:t xml:space="preserve"> videos is set below:</w:t>
      </w:r>
    </w:p>
    <w:p w:rsidR="00430FF2" w:rsidRDefault="001D5D11">
      <w:pPr>
        <w:pStyle w:val="BodyText"/>
        <w:spacing w:before="180"/>
      </w:pPr>
      <w:r>
        <w:rPr>
          <w:color w:val="231F1F"/>
        </w:rPr>
        <w:t>Module 1 - The GDPR in Schools (Duration - 35 minutes)</w:t>
      </w:r>
    </w:p>
    <w:p w:rsidR="00430FF2" w:rsidRDefault="001D5D11">
      <w:pPr>
        <w:pStyle w:val="BodyText"/>
        <w:spacing w:before="183" w:line="292" w:lineRule="auto"/>
        <w:ind w:right="148"/>
        <w:jc w:val="both"/>
      </w:pPr>
      <w:r>
        <w:rPr>
          <w:color w:val="231F1F"/>
        </w:rPr>
        <w:t xml:space="preserve">This training module is designed to provide staff within schools with an understanding of how the GDPR impacts how information is processed within a school setting. Key topics covered within the training include awareness, rights of the data subject, </w:t>
      </w:r>
      <w:proofErr w:type="gramStart"/>
      <w:r>
        <w:rPr>
          <w:color w:val="231F1F"/>
        </w:rPr>
        <w:t>lawfu</w:t>
      </w:r>
      <w:r>
        <w:rPr>
          <w:color w:val="231F1F"/>
        </w:rPr>
        <w:t>l</w:t>
      </w:r>
      <w:proofErr w:type="gramEnd"/>
      <w:r>
        <w:rPr>
          <w:color w:val="231F1F"/>
        </w:rPr>
        <w:t xml:space="preserve"> bases for processing personal information as well as exploring GDPR terminology.</w:t>
      </w:r>
    </w:p>
    <w:p w:rsidR="00430FF2" w:rsidRDefault="001D5D11">
      <w:pPr>
        <w:pStyle w:val="BodyText"/>
        <w:spacing w:before="119"/>
      </w:pPr>
      <w:r>
        <w:rPr>
          <w:color w:val="231F1F"/>
          <w:w w:val="105"/>
        </w:rPr>
        <w:t>Module 2 - Data Security &amp; Personal Data Breaches (Duration - 35 minutes)</w:t>
      </w:r>
    </w:p>
    <w:p w:rsidR="00430FF2" w:rsidRDefault="001D5D11">
      <w:pPr>
        <w:pStyle w:val="BodyText"/>
        <w:spacing w:before="183" w:line="292" w:lineRule="auto"/>
        <w:ind w:right="151"/>
        <w:jc w:val="both"/>
      </w:pPr>
      <w:r>
        <w:rPr>
          <w:color w:val="231F1F"/>
        </w:rPr>
        <w:t xml:space="preserve">This training module provides an overview of what constitutes a personal data breach, the impact a </w:t>
      </w:r>
      <w:r>
        <w:rPr>
          <w:color w:val="231F1F"/>
        </w:rPr>
        <w:t xml:space="preserve">breach has on both the data subject and the </w:t>
      </w:r>
      <w:proofErr w:type="spellStart"/>
      <w:r>
        <w:rPr>
          <w:color w:val="231F1F"/>
        </w:rPr>
        <w:t>organisation</w:t>
      </w:r>
      <w:proofErr w:type="spellEnd"/>
      <w:r>
        <w:rPr>
          <w:color w:val="231F1F"/>
        </w:rPr>
        <w:t xml:space="preserve"> and what action should be taken in the event of such a breach. This module also focuses on measures that can be taken to improve information security and avoid data breaches</w:t>
      </w:r>
      <w:r>
        <w:rPr>
          <w:color w:val="231F1F"/>
          <w:spacing w:val="-30"/>
        </w:rPr>
        <w:t xml:space="preserve"> </w:t>
      </w:r>
      <w:r>
        <w:rPr>
          <w:color w:val="231F1F"/>
        </w:rPr>
        <w:t>occurring.</w:t>
      </w:r>
    </w:p>
    <w:p w:rsidR="00430FF2" w:rsidRDefault="001D5D11">
      <w:pPr>
        <w:pStyle w:val="BodyText"/>
        <w:spacing w:before="120" w:line="292" w:lineRule="auto"/>
        <w:ind w:right="149"/>
        <w:jc w:val="both"/>
      </w:pPr>
      <w:r>
        <w:t>In order to en</w:t>
      </w:r>
      <w:r>
        <w:t xml:space="preserve">sure compliance with the GDPR, all teaching and non-teaching staff (including any </w:t>
      </w:r>
      <w:bookmarkStart w:id="0" w:name="_GoBack"/>
      <w:bookmarkEnd w:id="0"/>
      <w:r>
        <w:t>volunteers) working in your schools, and the school’s Board of Governors should complete these training modules as soon as possible (and then repeated annually). These traini</w:t>
      </w:r>
      <w:r>
        <w:t>ng modules should also be completed by any new member of teaching or non-teaching staff (including any volunteers) working in your schools as part of their induction.</w:t>
      </w:r>
    </w:p>
    <w:p w:rsidR="00430FF2" w:rsidRDefault="001D5D11">
      <w:pPr>
        <w:pStyle w:val="BodyText"/>
        <w:spacing w:before="121" w:line="292" w:lineRule="auto"/>
        <w:ind w:right="150"/>
        <w:jc w:val="both"/>
      </w:pPr>
      <w:r>
        <w:rPr>
          <w:w w:val="105"/>
        </w:rPr>
        <w:t>A register of those who have completed the training (and the date such training was compl</w:t>
      </w:r>
      <w:r>
        <w:rPr>
          <w:w w:val="105"/>
        </w:rPr>
        <w:t>eted) should be maintained by the school (and updated annually).</w:t>
      </w:r>
    </w:p>
    <w:p w:rsidR="00430FF2" w:rsidRDefault="001D5D11">
      <w:pPr>
        <w:pStyle w:val="BodyText"/>
        <w:spacing w:before="121" w:line="292" w:lineRule="auto"/>
        <w:ind w:right="150"/>
        <w:jc w:val="both"/>
        <w:rPr>
          <w:color w:val="0000FF"/>
        </w:rPr>
      </w:pPr>
      <w:r>
        <w:t>EA’s Information Governance team is also available to advise and assist schools in this respect. If you</w:t>
      </w:r>
      <w:r>
        <w:rPr>
          <w:spacing w:val="-8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028</w:t>
      </w:r>
      <w:r>
        <w:rPr>
          <w:spacing w:val="-7"/>
        </w:rPr>
        <w:t xml:space="preserve"> </w:t>
      </w:r>
      <w:r>
        <w:t>8241</w:t>
      </w:r>
      <w:r>
        <w:rPr>
          <w:spacing w:val="-8"/>
        </w:rPr>
        <w:t xml:space="preserve"> </w:t>
      </w:r>
      <w:r>
        <w:t>1300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email</w:t>
      </w:r>
      <w:r>
        <w:rPr>
          <w:spacing w:val="-8"/>
        </w:rPr>
        <w:t xml:space="preserve"> </w:t>
      </w:r>
      <w:hyperlink r:id="rId8">
        <w:r>
          <w:rPr>
            <w:color w:val="0000FF"/>
            <w:u w:val="single" w:color="0000FF"/>
          </w:rPr>
          <w:t>thinkdata@eani.org.uk</w:t>
        </w:r>
        <w:r>
          <w:rPr>
            <w:color w:val="0000FF"/>
          </w:rPr>
          <w:t>.</w:t>
        </w:r>
      </w:hyperlink>
    </w:p>
    <w:p w:rsidR="006428F3" w:rsidRDefault="006428F3">
      <w:pPr>
        <w:pStyle w:val="BodyText"/>
        <w:spacing w:before="121" w:line="292" w:lineRule="auto"/>
        <w:ind w:right="150"/>
        <w:jc w:val="both"/>
      </w:pPr>
    </w:p>
    <w:p w:rsidR="001D5D11" w:rsidRDefault="001D5D11" w:rsidP="001D5D11">
      <w:pPr>
        <w:pStyle w:val="BodyText"/>
        <w:spacing w:before="121"/>
        <w:jc w:val="both"/>
      </w:pPr>
      <w:r>
        <w:t>Yours faithfully</w:t>
      </w:r>
    </w:p>
    <w:p w:rsidR="006428F3" w:rsidRDefault="006428F3" w:rsidP="006428F3">
      <w:pPr>
        <w:pStyle w:val="BodyText"/>
        <w:spacing w:before="121"/>
        <w:jc w:val="both"/>
        <w:rPr>
          <w:sz w:val="22"/>
        </w:rPr>
      </w:pPr>
    </w:p>
    <w:p w:rsidR="00430FF2" w:rsidRDefault="001D5D11">
      <w:pPr>
        <w:pStyle w:val="BodyText"/>
        <w:jc w:val="both"/>
      </w:pPr>
      <w:r>
        <w:rPr>
          <w:w w:val="105"/>
        </w:rPr>
        <w:t>Information Governance Unit</w:t>
      </w:r>
    </w:p>
    <w:p w:rsidR="00430FF2" w:rsidRDefault="00430FF2">
      <w:pPr>
        <w:pStyle w:val="BodyText"/>
        <w:ind w:left="0"/>
        <w:rPr>
          <w:sz w:val="20"/>
        </w:rPr>
      </w:pPr>
    </w:p>
    <w:p w:rsidR="00430FF2" w:rsidRDefault="00430FF2">
      <w:pPr>
        <w:pStyle w:val="BodyText"/>
        <w:spacing w:before="4"/>
        <w:ind w:left="0"/>
        <w:rPr>
          <w:sz w:val="19"/>
        </w:rPr>
      </w:pPr>
    </w:p>
    <w:p w:rsidR="00430FF2" w:rsidRDefault="001D5D11">
      <w:pPr>
        <w:ind w:left="276"/>
        <w:rPr>
          <w:sz w:val="19"/>
        </w:rPr>
      </w:pPr>
      <w:r>
        <w:rPr>
          <w:w w:val="120"/>
          <w:sz w:val="19"/>
        </w:rPr>
        <w:t>“To inspire, support and challenge all our Children and Young People to be the best that they can be.”</w:t>
      </w:r>
    </w:p>
    <w:p w:rsidR="00430FF2" w:rsidRDefault="00430FF2">
      <w:pPr>
        <w:pStyle w:val="BodyText"/>
        <w:spacing w:before="4"/>
        <w:ind w:left="0"/>
        <w:rPr>
          <w:sz w:val="16"/>
        </w:rPr>
      </w:pPr>
    </w:p>
    <w:p w:rsidR="00430FF2" w:rsidRDefault="001D5D11">
      <w:pPr>
        <w:ind w:left="117"/>
        <w:rPr>
          <w:sz w:val="21"/>
        </w:rPr>
      </w:pPr>
      <w:r>
        <w:rPr>
          <w:color w:val="44C3CF"/>
          <w:w w:val="120"/>
          <w:sz w:val="21"/>
        </w:rPr>
        <w:t>Education Authority</w:t>
      </w:r>
    </w:p>
    <w:p w:rsidR="00430FF2" w:rsidRDefault="001D5D11">
      <w:pPr>
        <w:spacing w:before="15"/>
        <w:ind w:left="136"/>
        <w:rPr>
          <w:sz w:val="21"/>
        </w:rPr>
      </w:pPr>
      <w:r>
        <w:rPr>
          <w:w w:val="120"/>
          <w:sz w:val="21"/>
        </w:rPr>
        <w:t>40 Academy Street, Belfast, BT1 2NQ</w:t>
      </w:r>
    </w:p>
    <w:p w:rsidR="00430FF2" w:rsidRDefault="001D5D11">
      <w:pPr>
        <w:spacing w:before="37"/>
        <w:ind w:left="136"/>
        <w:rPr>
          <w:sz w:val="21"/>
        </w:rPr>
      </w:pPr>
      <w:r>
        <w:rPr>
          <w:color w:val="44C3CF"/>
          <w:w w:val="120"/>
          <w:sz w:val="21"/>
        </w:rPr>
        <w:t xml:space="preserve">T: </w:t>
      </w:r>
      <w:r>
        <w:rPr>
          <w:w w:val="120"/>
          <w:sz w:val="21"/>
        </w:rPr>
        <w:t xml:space="preserve">+44 (0)28 9056 4000 </w:t>
      </w:r>
      <w:r>
        <w:rPr>
          <w:color w:val="44C3CF"/>
          <w:w w:val="120"/>
          <w:sz w:val="21"/>
        </w:rPr>
        <w:t xml:space="preserve">F: </w:t>
      </w:r>
      <w:r>
        <w:rPr>
          <w:w w:val="120"/>
          <w:sz w:val="21"/>
        </w:rPr>
        <w:t xml:space="preserve">+44 (0)28 9033 1714 </w:t>
      </w:r>
      <w:r>
        <w:rPr>
          <w:color w:val="44C3CF"/>
          <w:w w:val="120"/>
          <w:sz w:val="21"/>
        </w:rPr>
        <w:t xml:space="preserve">W: </w:t>
      </w:r>
      <w:hyperlink r:id="rId9">
        <w:r>
          <w:rPr>
            <w:w w:val="120"/>
            <w:sz w:val="21"/>
          </w:rPr>
          <w:t>www.eani.org.uk</w:t>
        </w:r>
      </w:hyperlink>
    </w:p>
    <w:sectPr w:rsidR="00430FF2">
      <w:type w:val="continuous"/>
      <w:pgSz w:w="11910" w:h="16840"/>
      <w:pgMar w:top="8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F2"/>
    <w:rsid w:val="001D5D11"/>
    <w:rsid w:val="00430FF2"/>
    <w:rsid w:val="006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6855"/>
  <w15:docId w15:val="{5958DC2E-EA65-4C37-95A3-D97E86C8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nkdata@eani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ani.org.uk/about-us/privacy/ea-think-data-online-resource-h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ni.org.uk/about-us/privacy/ea-think-data-online-resource-hu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ani.org.uk/about-us/privacy/ea-think-data-online-resource-hub/videos-presentation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ani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Data Protection Training Letter to Schools</vt:lpstr>
    </vt:vector>
  </TitlesOfParts>
  <Company>EANI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 Protection Training Letter to Schools</dc:title>
  <dc:creator>MartinJ1</dc:creator>
  <cp:lastModifiedBy>Monika Ferguson</cp:lastModifiedBy>
  <cp:revision>3</cp:revision>
  <dcterms:created xsi:type="dcterms:W3CDTF">2020-11-10T16:10:00Z</dcterms:created>
  <dcterms:modified xsi:type="dcterms:W3CDTF">2020-11-10T16:10:00Z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