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0F" w:rsidRDefault="006D2F0F">
      <w:pPr>
        <w:pStyle w:val="BodyText"/>
        <w:rPr>
          <w:rFonts w:ascii="Times New Roman"/>
          <w:sz w:val="20"/>
        </w:rPr>
      </w:pPr>
    </w:p>
    <w:p w:rsidR="004E078E" w:rsidRDefault="00A17FA4" w:rsidP="005C0654">
      <w:pPr>
        <w:pStyle w:val="BodyText"/>
      </w:pPr>
      <w:r>
        <w:rPr>
          <w:noProof/>
          <w:lang w:bidi="ar-SA"/>
        </w:rPr>
        <w:drawing>
          <wp:inline distT="0" distB="0" distL="0" distR="0">
            <wp:extent cx="2942170" cy="1000125"/>
            <wp:effectExtent l="0" t="0" r="0" b="0"/>
            <wp:docPr id="1"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6D2F0F" w:rsidRPr="00277A0F" w:rsidRDefault="00D07DD6" w:rsidP="00277A0F">
      <w:pPr>
        <w:pStyle w:val="Heading1"/>
        <w:spacing w:before="180" w:line="369" w:lineRule="auto"/>
        <w:ind w:left="3688" w:right="3684"/>
        <w:jc w:val="center"/>
        <w:rPr>
          <w:u w:val="none"/>
        </w:rPr>
      </w:pPr>
      <w:r>
        <w:t>GDPR in Schools</w:t>
      </w:r>
      <w:r>
        <w:rPr>
          <w:u w:val="none"/>
        </w:rPr>
        <w:t xml:space="preserve"> </w:t>
      </w:r>
      <w:r>
        <w:t>Module 1</w:t>
      </w:r>
    </w:p>
    <w:p w:rsidR="006D2F0F" w:rsidRDefault="00D07DD6">
      <w:pPr>
        <w:spacing w:before="44"/>
        <w:ind w:left="120" w:right="7927"/>
        <w:rPr>
          <w:b/>
          <w:sz w:val="28"/>
        </w:rPr>
      </w:pPr>
      <w:r>
        <w:rPr>
          <w:b/>
          <w:sz w:val="28"/>
          <w:u w:val="single"/>
        </w:rPr>
        <w:t>Title Slide:</w:t>
      </w:r>
    </w:p>
    <w:p w:rsidR="006D2F0F" w:rsidRDefault="00D07DD6">
      <w:pPr>
        <w:spacing w:before="186"/>
        <w:ind w:left="120" w:right="7927"/>
        <w:rPr>
          <w:b/>
          <w:sz w:val="28"/>
        </w:rPr>
      </w:pPr>
      <w:r>
        <w:rPr>
          <w:b/>
          <w:sz w:val="28"/>
          <w:u w:val="single"/>
        </w:rPr>
        <w:t>Slide 1:</w:t>
      </w:r>
    </w:p>
    <w:p w:rsidR="006D2F0F" w:rsidRDefault="006D2F0F">
      <w:pPr>
        <w:pStyle w:val="BodyText"/>
        <w:spacing w:before="10"/>
        <w:rPr>
          <w:b/>
          <w:sz w:val="10"/>
        </w:rPr>
      </w:pPr>
    </w:p>
    <w:p w:rsidR="006D2F0F" w:rsidRDefault="00D07DD6">
      <w:pPr>
        <w:pStyle w:val="BodyText"/>
        <w:spacing w:before="56" w:line="256" w:lineRule="auto"/>
        <w:ind w:left="119" w:right="578"/>
      </w:pPr>
      <w:r>
        <w:t xml:space="preserve">Welcome to </w:t>
      </w:r>
      <w:r>
        <w:rPr>
          <w:i/>
        </w:rPr>
        <w:t xml:space="preserve">The GDPR in Schools. </w:t>
      </w:r>
      <w:r>
        <w:t>This training video is the first of two modules designed by the Authority for all staff and volunteers within Schools which looks at GDPR in Schools.</w:t>
      </w:r>
    </w:p>
    <w:p w:rsidR="006D2F0F" w:rsidRDefault="00D07DD6">
      <w:pPr>
        <w:pStyle w:val="BodyText"/>
        <w:spacing w:before="165" w:line="259" w:lineRule="auto"/>
        <w:ind w:left="119" w:right="547"/>
      </w:pPr>
      <w:r>
        <w:t>This module is designed as a general introduction to the General Data Protection Regulations (GDPR). It is designed to provide an overview of the GDPR, by increasing staff understanding generally and informing staff of their obligations under the GDPR during their working life at the school.</w:t>
      </w:r>
    </w:p>
    <w:p w:rsidR="006D2F0F" w:rsidRDefault="00D07DD6">
      <w:pPr>
        <w:pStyle w:val="BodyText"/>
        <w:spacing w:before="157" w:line="259" w:lineRule="auto"/>
        <w:ind w:left="119" w:right="396"/>
      </w:pPr>
      <w:r>
        <w:t xml:space="preserve">Staff training is a key-way of ensuring practical compliance with the GDPR and is strongly encouraged by the ICO, the Information Commissioner’s Office, </w:t>
      </w:r>
      <w:r w:rsidR="002E2FB4">
        <w:t>and the</w:t>
      </w:r>
      <w:r>
        <w:t xml:space="preserve"> UK data protection regulator. The Authority recommends that all staff and volunteers complete this training on an annual basis.</w:t>
      </w:r>
    </w:p>
    <w:p w:rsidR="006D2F0F" w:rsidRDefault="00D07DD6">
      <w:pPr>
        <w:pStyle w:val="BodyText"/>
        <w:spacing w:before="159"/>
        <w:ind w:left="119"/>
      </w:pPr>
      <w:r>
        <w:t>A record of all staff who have completed this module will be kept by the School.</w:t>
      </w:r>
    </w:p>
    <w:p w:rsidR="006D2F0F" w:rsidRDefault="006D2F0F">
      <w:pPr>
        <w:pStyle w:val="BodyText"/>
      </w:pPr>
    </w:p>
    <w:p w:rsidR="006D2F0F" w:rsidRDefault="006D2F0F">
      <w:pPr>
        <w:pStyle w:val="BodyText"/>
        <w:spacing w:before="10"/>
        <w:rPr>
          <w:sz w:val="29"/>
        </w:rPr>
      </w:pPr>
    </w:p>
    <w:p w:rsidR="006D2F0F" w:rsidRDefault="00D07DD6" w:rsidP="00250C5B">
      <w:pPr>
        <w:pStyle w:val="Heading1"/>
      </w:pPr>
      <w:r>
        <w:t>Slide 2:</w:t>
      </w:r>
    </w:p>
    <w:p w:rsidR="00250C5B" w:rsidRPr="00250C5B" w:rsidRDefault="00250C5B" w:rsidP="00250C5B">
      <w:pPr>
        <w:pStyle w:val="Heading1"/>
        <w:rPr>
          <w:u w:val="none"/>
        </w:rPr>
      </w:pPr>
    </w:p>
    <w:p w:rsidR="00250C5B" w:rsidRDefault="00250C5B" w:rsidP="004E078E">
      <w:pPr>
        <w:pStyle w:val="BodyText"/>
        <w:spacing w:line="259" w:lineRule="auto"/>
        <w:ind w:left="119" w:right="205"/>
        <w:rPr>
          <w:b/>
          <w:i/>
        </w:rPr>
      </w:pPr>
      <w:r w:rsidRPr="00250C5B">
        <w:rPr>
          <w:b/>
          <w:i/>
        </w:rPr>
        <w:t>“GDPR is an evolution is data protection, not a total revolution. GDPR is building on foundations already in place for the last 20 years.”</w:t>
      </w:r>
    </w:p>
    <w:p w:rsidR="00250C5B" w:rsidRPr="00250C5B" w:rsidRDefault="00250C5B" w:rsidP="004E078E">
      <w:pPr>
        <w:pStyle w:val="BodyText"/>
        <w:spacing w:line="259" w:lineRule="auto"/>
        <w:ind w:left="119" w:right="205"/>
        <w:rPr>
          <w:b/>
          <w:i/>
        </w:rPr>
      </w:pPr>
    </w:p>
    <w:p w:rsidR="006D2F0F" w:rsidRDefault="00D07DD6" w:rsidP="004E078E">
      <w:pPr>
        <w:pStyle w:val="BodyText"/>
        <w:spacing w:line="259" w:lineRule="auto"/>
        <w:ind w:left="119" w:right="205"/>
      </w:pPr>
      <w:r>
        <w:t>Data protection is nothing new. The GDPR is an evolution of the existing law. If your school was already complying with the terms of the Data Protection Act 1998, and have an effective data governance programme in place, then your school already has a good foundation in place and should be well on the way to meeting the requirements of the GDPR. Under the Data Protection Act 1998, each school was a Data Controller. This has not changed. Each school continues to be a Data Controller and, as such, is still responsible for ensuring that all practices relating to the handling of personal data in the school complies with data protection legislation, which since May 2018, means the requirements of GDPR. The Board of Governors is responsible for ensuring the school’s compliance with GDPR.</w:t>
      </w:r>
    </w:p>
    <w:p w:rsidR="006D2F0F" w:rsidRDefault="00D07DD6">
      <w:pPr>
        <w:pStyle w:val="Heading1"/>
        <w:spacing w:before="151"/>
        <w:rPr>
          <w:u w:val="none"/>
        </w:rPr>
      </w:pPr>
      <w:r>
        <w:t>Slide 3:</w:t>
      </w:r>
    </w:p>
    <w:p w:rsidR="006D2F0F" w:rsidRDefault="00D07DD6">
      <w:pPr>
        <w:pStyle w:val="BodyText"/>
        <w:spacing w:before="188" w:line="256" w:lineRule="auto"/>
        <w:ind w:left="120" w:right="578" w:hanging="1"/>
      </w:pPr>
      <w:r>
        <w:t>The GDPR entered into force on 24</w:t>
      </w:r>
      <w:r>
        <w:rPr>
          <w:vertAlign w:val="superscript"/>
        </w:rPr>
        <w:t>th</w:t>
      </w:r>
      <w:r>
        <w:t xml:space="preserve"> May 2016, allowing organisations two years to prepare for compliance, before the GDPR came to be enforced from 25</w:t>
      </w:r>
      <w:r>
        <w:rPr>
          <w:vertAlign w:val="superscript"/>
        </w:rPr>
        <w:t>th</w:t>
      </w:r>
      <w:r>
        <w:t xml:space="preserve"> May 2018.</w:t>
      </w:r>
    </w:p>
    <w:p w:rsidR="006D2F0F" w:rsidRDefault="006D2F0F">
      <w:pPr>
        <w:pStyle w:val="BodyText"/>
        <w:rPr>
          <w:sz w:val="20"/>
        </w:rPr>
      </w:pPr>
    </w:p>
    <w:p w:rsidR="004A3E04" w:rsidRDefault="004E078E" w:rsidP="005C0654">
      <w:pPr>
        <w:ind w:left="119"/>
        <w:rPr>
          <w:rFonts w:ascii="Calibri Light"/>
          <w:color w:val="4472C4"/>
          <w:sz w:val="20"/>
        </w:rPr>
      </w:pPr>
      <w:r>
        <w:t>It sits alongside the Data Protection Act 2018 and puts</w:t>
      </w:r>
      <w:r>
        <w:rPr>
          <w:spacing w:val="-8"/>
        </w:rPr>
        <w:t xml:space="preserve"> </w:t>
      </w:r>
      <w:r>
        <w:t>the</w:t>
      </w:r>
      <w:r>
        <w:rPr>
          <w:spacing w:val="-7"/>
        </w:rPr>
        <w:t xml:space="preserve"> </w:t>
      </w:r>
      <w:r>
        <w:t>rights</w:t>
      </w:r>
      <w:r>
        <w:rPr>
          <w:spacing w:val="-10"/>
        </w:rPr>
        <w:t xml:space="preserve"> </w:t>
      </w:r>
      <w:r>
        <w:t>of</w:t>
      </w:r>
      <w:r>
        <w:rPr>
          <w:spacing w:val="-8"/>
        </w:rPr>
        <w:t xml:space="preserve"> </w:t>
      </w:r>
      <w:r>
        <w:t>the</w:t>
      </w:r>
      <w:r>
        <w:rPr>
          <w:spacing w:val="-10"/>
        </w:rPr>
        <w:t xml:space="preserve"> </w:t>
      </w:r>
      <w:r>
        <w:t>data</w:t>
      </w:r>
      <w:r>
        <w:rPr>
          <w:spacing w:val="-10"/>
        </w:rPr>
        <w:t xml:space="preserve"> </w:t>
      </w:r>
      <w:r>
        <w:t>subject</w:t>
      </w:r>
      <w:r>
        <w:rPr>
          <w:spacing w:val="-7"/>
        </w:rPr>
        <w:t xml:space="preserve"> </w:t>
      </w:r>
      <w:r>
        <w:t>at</w:t>
      </w:r>
      <w:r>
        <w:rPr>
          <w:spacing w:val="-10"/>
        </w:rPr>
        <w:t xml:space="preserve"> </w:t>
      </w:r>
      <w:r>
        <w:t>the</w:t>
      </w:r>
      <w:r>
        <w:rPr>
          <w:spacing w:val="-10"/>
        </w:rPr>
        <w:t xml:space="preserve"> </w:t>
      </w:r>
      <w:r>
        <w:t>heart</w:t>
      </w:r>
      <w:r>
        <w:rPr>
          <w:spacing w:val="-10"/>
        </w:rPr>
        <w:t xml:space="preserve"> </w:t>
      </w:r>
      <w:r>
        <w:t>of</w:t>
      </w:r>
      <w:r>
        <w:rPr>
          <w:spacing w:val="-10"/>
        </w:rPr>
        <w:t xml:space="preserve"> </w:t>
      </w:r>
      <w:r>
        <w:t>how personal information is</w:t>
      </w:r>
      <w:r>
        <w:rPr>
          <w:spacing w:val="-2"/>
        </w:rPr>
        <w:t xml:space="preserve"> </w:t>
      </w:r>
      <w:r>
        <w:t>processed.</w:t>
      </w:r>
      <w:r w:rsidR="005C0654">
        <w:rPr>
          <w:rFonts w:ascii="Calibri Light"/>
          <w:color w:val="4472C4"/>
          <w:sz w:val="20"/>
        </w:rPr>
        <w:t xml:space="preserve"> </w:t>
      </w:r>
    </w:p>
    <w:p w:rsidR="006D2F0F" w:rsidRDefault="006D2F0F">
      <w:pPr>
        <w:rPr>
          <w:rFonts w:ascii="Calibri Light"/>
          <w:sz w:val="20"/>
        </w:rPr>
        <w:sectPr w:rsidR="006D2F0F">
          <w:footerReference w:type="default" r:id="rId9"/>
          <w:type w:val="continuous"/>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6D2F0F" w:rsidRDefault="00DC2C57" w:rsidP="005C0654">
      <w:pPr>
        <w:pStyle w:val="BodyText"/>
        <w:rPr>
          <w:sz w:val="20"/>
        </w:rPr>
      </w:pPr>
      <w:r>
        <w:rPr>
          <w:noProof/>
          <w:lang w:bidi="ar-SA"/>
        </w:rPr>
        <w:drawing>
          <wp:inline distT="0" distB="0" distL="0" distR="0">
            <wp:extent cx="2942170" cy="1000125"/>
            <wp:effectExtent l="0" t="0" r="0" b="0"/>
            <wp:docPr id="22"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6D2F0F" w:rsidRDefault="00D07DD6">
      <w:pPr>
        <w:pStyle w:val="Heading1"/>
        <w:jc w:val="both"/>
        <w:rPr>
          <w:u w:val="none"/>
        </w:rPr>
      </w:pPr>
      <w:r>
        <w:t xml:space="preserve">Slide 4: Definitions </w:t>
      </w:r>
      <w:proofErr w:type="gramStart"/>
      <w:r>
        <w:t>Under</w:t>
      </w:r>
      <w:proofErr w:type="gramEnd"/>
      <w:r>
        <w:t xml:space="preserve"> GDPR</w:t>
      </w:r>
    </w:p>
    <w:p w:rsidR="006D2F0F" w:rsidRDefault="006D2F0F">
      <w:pPr>
        <w:pStyle w:val="BodyText"/>
        <w:spacing w:before="7"/>
        <w:rPr>
          <w:b/>
          <w:sz w:val="10"/>
        </w:rPr>
      </w:pPr>
    </w:p>
    <w:p w:rsidR="006D2F0F" w:rsidRDefault="00D07DD6">
      <w:pPr>
        <w:pStyle w:val="BodyText"/>
        <w:spacing w:before="56" w:line="259" w:lineRule="auto"/>
        <w:ind w:left="120" w:right="335"/>
      </w:pPr>
      <w:r>
        <w:t>Like the Data Protection Act 1998, the GDPR uses certain terms which organisations and their staff need to understand. Let’s look at some key terminology:-</w:t>
      </w:r>
    </w:p>
    <w:p w:rsidR="006D2F0F" w:rsidRDefault="00D07DD6">
      <w:pPr>
        <w:spacing w:before="160" w:line="259" w:lineRule="auto"/>
        <w:ind w:left="119" w:right="466"/>
      </w:pPr>
      <w:r>
        <w:t>The GDPR covers the processing of ‘</w:t>
      </w:r>
      <w:r>
        <w:rPr>
          <w:b/>
          <w:i/>
        </w:rPr>
        <w:t xml:space="preserve">personal data’ </w:t>
      </w:r>
      <w:r>
        <w:t>relating to ‘</w:t>
      </w:r>
      <w:r>
        <w:rPr>
          <w:b/>
          <w:i/>
        </w:rPr>
        <w:t>data subjects</w:t>
      </w:r>
      <w:r>
        <w:t>’ by or on behalf of a ‘</w:t>
      </w:r>
      <w:r>
        <w:rPr>
          <w:b/>
          <w:i/>
        </w:rPr>
        <w:t>data controller</w:t>
      </w:r>
      <w:r>
        <w:t>’</w:t>
      </w:r>
    </w:p>
    <w:p w:rsidR="006D2F0F" w:rsidRDefault="00D07DD6">
      <w:pPr>
        <w:spacing w:before="159" w:line="259" w:lineRule="auto"/>
        <w:ind w:left="119"/>
      </w:pPr>
      <w:r>
        <w:t>‘</w:t>
      </w:r>
      <w:r>
        <w:rPr>
          <w:b/>
          <w:i/>
        </w:rPr>
        <w:t>Personal data</w:t>
      </w:r>
      <w:r>
        <w:t>’ means any information relating to an identified or identifiable natural person (‘</w:t>
      </w:r>
      <w:r>
        <w:rPr>
          <w:b/>
          <w:i/>
        </w:rPr>
        <w:t>the Data Subject</w:t>
      </w:r>
      <w:r>
        <w:t>’).</w:t>
      </w:r>
    </w:p>
    <w:p w:rsidR="006D2F0F" w:rsidRDefault="00D07DD6">
      <w:pPr>
        <w:pStyle w:val="Heading1"/>
        <w:spacing w:before="162"/>
        <w:rPr>
          <w:u w:val="none"/>
        </w:rPr>
      </w:pPr>
      <w:r>
        <w:t>Slide 5:</w:t>
      </w:r>
    </w:p>
    <w:p w:rsidR="006D2F0F" w:rsidRDefault="006D2F0F">
      <w:pPr>
        <w:pStyle w:val="BodyText"/>
        <w:spacing w:before="7"/>
        <w:rPr>
          <w:b/>
          <w:sz w:val="10"/>
        </w:rPr>
      </w:pPr>
    </w:p>
    <w:p w:rsidR="006D2F0F" w:rsidRDefault="00D07DD6">
      <w:pPr>
        <w:pStyle w:val="BodyText"/>
        <w:spacing w:before="56"/>
        <w:ind w:left="120"/>
      </w:pPr>
      <w:r>
        <w:t>The definition of ‘personal data is wider under the GDPR than under the DPA 1998.</w:t>
      </w:r>
    </w:p>
    <w:p w:rsidR="006D2F0F" w:rsidRDefault="00D07DD6">
      <w:pPr>
        <w:pStyle w:val="BodyText"/>
        <w:spacing w:before="181" w:line="259" w:lineRule="auto"/>
        <w:ind w:left="119" w:right="151"/>
      </w:pPr>
      <w:r>
        <w:t>Under the GDPR, an identifiable natural person is one who can be identified, directly or indirectly, in partly by reference to an identifier, such as a name, identification number, location data, an online identifier or to one or more factors specific to the physical, physiological, genetic, mental, economic, cultural or social identity of a natural person.</w:t>
      </w:r>
    </w:p>
    <w:p w:rsidR="006D2F0F" w:rsidRDefault="00D07DD6">
      <w:pPr>
        <w:pStyle w:val="BodyText"/>
        <w:spacing w:before="159" w:line="259" w:lineRule="auto"/>
        <w:ind w:left="119" w:right="250"/>
      </w:pPr>
      <w:r>
        <w:t>Examples of personal data include (but are not limited to) a National Insurance number, bank account, address, email address, IP address, driving licence, CCTV images, voice recordings, medical records, HR records, student records, social media accounts.</w:t>
      </w:r>
    </w:p>
    <w:p w:rsidR="006D2F0F" w:rsidRDefault="006D2F0F">
      <w:pPr>
        <w:pStyle w:val="BodyText"/>
      </w:pPr>
    </w:p>
    <w:p w:rsidR="006D2F0F" w:rsidRDefault="006D2F0F">
      <w:pPr>
        <w:pStyle w:val="BodyText"/>
        <w:spacing w:before="1"/>
        <w:rPr>
          <w:sz w:val="28"/>
        </w:rPr>
      </w:pPr>
    </w:p>
    <w:p w:rsidR="006D2F0F" w:rsidRDefault="00D07DD6">
      <w:pPr>
        <w:pStyle w:val="Heading1"/>
        <w:rPr>
          <w:u w:val="none"/>
        </w:rPr>
      </w:pPr>
      <w:r>
        <w:t>Slide 6:</w:t>
      </w:r>
    </w:p>
    <w:p w:rsidR="006D2F0F" w:rsidRDefault="006D2F0F">
      <w:pPr>
        <w:pStyle w:val="BodyText"/>
        <w:spacing w:before="8"/>
        <w:rPr>
          <w:b/>
          <w:sz w:val="10"/>
        </w:rPr>
      </w:pPr>
    </w:p>
    <w:p w:rsidR="006D2F0F" w:rsidRDefault="00D07DD6">
      <w:pPr>
        <w:pStyle w:val="BodyText"/>
        <w:spacing w:before="56" w:line="256" w:lineRule="auto"/>
        <w:ind w:left="120" w:right="114"/>
        <w:jc w:val="both"/>
      </w:pPr>
      <w:r>
        <w:t>‘</w:t>
      </w:r>
      <w:r>
        <w:rPr>
          <w:b/>
          <w:i/>
        </w:rPr>
        <w:t xml:space="preserve">Special Category Personal Data’ </w:t>
      </w:r>
      <w:r>
        <w:t>is what was referred to as ‘</w:t>
      </w:r>
      <w:r>
        <w:rPr>
          <w:i/>
        </w:rPr>
        <w:t>sensitive personal data</w:t>
      </w:r>
      <w:r>
        <w:t>’ under the DPA 1998.</w:t>
      </w:r>
      <w:r>
        <w:rPr>
          <w:spacing w:val="-6"/>
        </w:rPr>
        <w:t xml:space="preserve"> </w:t>
      </w:r>
      <w:r>
        <w:t>The</w:t>
      </w:r>
      <w:r>
        <w:rPr>
          <w:spacing w:val="-4"/>
        </w:rPr>
        <w:t xml:space="preserve"> </w:t>
      </w:r>
      <w:r>
        <w:t>definition</w:t>
      </w:r>
      <w:r>
        <w:rPr>
          <w:spacing w:val="-7"/>
        </w:rPr>
        <w:t xml:space="preserve"> </w:t>
      </w:r>
      <w:r>
        <w:t>of</w:t>
      </w:r>
      <w:r>
        <w:rPr>
          <w:spacing w:val="-7"/>
        </w:rPr>
        <w:t xml:space="preserve"> </w:t>
      </w:r>
      <w:r>
        <w:t>special</w:t>
      </w:r>
      <w:r>
        <w:rPr>
          <w:spacing w:val="-4"/>
        </w:rPr>
        <w:t xml:space="preserve"> </w:t>
      </w:r>
      <w:r>
        <w:t>category</w:t>
      </w:r>
      <w:r>
        <w:rPr>
          <w:spacing w:val="-6"/>
        </w:rPr>
        <w:t xml:space="preserve"> </w:t>
      </w:r>
      <w:r>
        <w:t>data</w:t>
      </w:r>
      <w:r>
        <w:rPr>
          <w:spacing w:val="-4"/>
        </w:rPr>
        <w:t xml:space="preserve"> </w:t>
      </w:r>
      <w:r>
        <w:t>is</w:t>
      </w:r>
      <w:r>
        <w:rPr>
          <w:spacing w:val="-4"/>
        </w:rPr>
        <w:t xml:space="preserve"> </w:t>
      </w:r>
      <w:r>
        <w:t>however</w:t>
      </w:r>
      <w:r>
        <w:rPr>
          <w:spacing w:val="-6"/>
        </w:rPr>
        <w:t xml:space="preserve"> </w:t>
      </w:r>
      <w:r>
        <w:t>wider</w:t>
      </w:r>
      <w:r>
        <w:rPr>
          <w:spacing w:val="-3"/>
        </w:rPr>
        <w:t xml:space="preserve"> </w:t>
      </w:r>
      <w:r>
        <w:t>under</w:t>
      </w:r>
      <w:r>
        <w:rPr>
          <w:spacing w:val="-7"/>
        </w:rPr>
        <w:t xml:space="preserve"> </w:t>
      </w:r>
      <w:r>
        <w:t>the</w:t>
      </w:r>
      <w:r>
        <w:rPr>
          <w:spacing w:val="-5"/>
        </w:rPr>
        <w:t xml:space="preserve"> </w:t>
      </w:r>
      <w:r>
        <w:t>GDPR</w:t>
      </w:r>
      <w:r>
        <w:rPr>
          <w:spacing w:val="-7"/>
        </w:rPr>
        <w:t xml:space="preserve"> </w:t>
      </w:r>
      <w:r>
        <w:t>than</w:t>
      </w:r>
      <w:r>
        <w:rPr>
          <w:spacing w:val="-4"/>
        </w:rPr>
        <w:t xml:space="preserve"> </w:t>
      </w:r>
      <w:r>
        <w:t>that</w:t>
      </w:r>
      <w:r>
        <w:rPr>
          <w:spacing w:val="-6"/>
        </w:rPr>
        <w:t xml:space="preserve"> </w:t>
      </w:r>
      <w:r>
        <w:t>of</w:t>
      </w:r>
      <w:r>
        <w:rPr>
          <w:spacing w:val="-6"/>
        </w:rPr>
        <w:t xml:space="preserve"> </w:t>
      </w:r>
      <w:r>
        <w:t>‘sensitive personal data’ under the DPA. Special category personal data requires even more protection than personal data, it includes information which relates to a</w:t>
      </w:r>
      <w:r>
        <w:rPr>
          <w:spacing w:val="-8"/>
        </w:rPr>
        <w:t xml:space="preserve"> </w:t>
      </w:r>
      <w:r>
        <w:t>person’s:</w:t>
      </w:r>
    </w:p>
    <w:p w:rsidR="006D2F0F" w:rsidRDefault="00D07DD6">
      <w:pPr>
        <w:pStyle w:val="ListParagraph"/>
        <w:numPr>
          <w:ilvl w:val="0"/>
          <w:numId w:val="1"/>
        </w:numPr>
        <w:tabs>
          <w:tab w:val="left" w:pos="832"/>
          <w:tab w:val="left" w:pos="833"/>
        </w:tabs>
        <w:spacing w:before="161"/>
        <w:ind w:hanging="363"/>
        <w:rPr>
          <w:rFonts w:ascii="Symbol" w:hAnsi="Symbol"/>
        </w:rPr>
      </w:pPr>
      <w:r>
        <w:t>Race or ethnic</w:t>
      </w:r>
      <w:r>
        <w:rPr>
          <w:spacing w:val="-7"/>
        </w:rPr>
        <w:t xml:space="preserve"> </w:t>
      </w:r>
      <w:r>
        <w:t>origin;</w:t>
      </w:r>
    </w:p>
    <w:p w:rsidR="006D2F0F" w:rsidRDefault="00D07DD6">
      <w:pPr>
        <w:pStyle w:val="ListParagraph"/>
        <w:numPr>
          <w:ilvl w:val="0"/>
          <w:numId w:val="1"/>
        </w:numPr>
        <w:tabs>
          <w:tab w:val="left" w:pos="840"/>
          <w:tab w:val="left" w:pos="841"/>
        </w:tabs>
        <w:spacing w:before="20"/>
        <w:ind w:hanging="360"/>
        <w:rPr>
          <w:rFonts w:ascii="Symbol" w:hAnsi="Symbol"/>
        </w:rPr>
      </w:pPr>
      <w:r>
        <w:t>Political</w:t>
      </w:r>
      <w:r>
        <w:rPr>
          <w:spacing w:val="-3"/>
        </w:rPr>
        <w:t xml:space="preserve"> </w:t>
      </w:r>
      <w:r>
        <w:t>opinions;</w:t>
      </w:r>
    </w:p>
    <w:p w:rsidR="006D2F0F" w:rsidRDefault="00D07DD6">
      <w:pPr>
        <w:pStyle w:val="ListParagraph"/>
        <w:numPr>
          <w:ilvl w:val="0"/>
          <w:numId w:val="1"/>
        </w:numPr>
        <w:tabs>
          <w:tab w:val="left" w:pos="840"/>
          <w:tab w:val="left" w:pos="841"/>
        </w:tabs>
        <w:spacing w:before="17"/>
        <w:ind w:hanging="360"/>
        <w:rPr>
          <w:rFonts w:ascii="Symbol" w:hAnsi="Symbol"/>
        </w:rPr>
      </w:pPr>
      <w:r>
        <w:t>Religious or philosophical</w:t>
      </w:r>
      <w:r>
        <w:rPr>
          <w:spacing w:val="-3"/>
        </w:rPr>
        <w:t xml:space="preserve"> </w:t>
      </w:r>
      <w:r>
        <w:t>beliefs;</w:t>
      </w:r>
    </w:p>
    <w:p w:rsidR="006D2F0F" w:rsidRDefault="00D07DD6">
      <w:pPr>
        <w:pStyle w:val="ListParagraph"/>
        <w:numPr>
          <w:ilvl w:val="0"/>
          <w:numId w:val="1"/>
        </w:numPr>
        <w:tabs>
          <w:tab w:val="left" w:pos="840"/>
          <w:tab w:val="left" w:pos="841"/>
        </w:tabs>
        <w:spacing w:before="17"/>
        <w:ind w:hanging="360"/>
        <w:rPr>
          <w:rFonts w:ascii="Symbol" w:hAnsi="Symbol"/>
        </w:rPr>
      </w:pPr>
      <w:r>
        <w:t>Trade union</w:t>
      </w:r>
      <w:r>
        <w:rPr>
          <w:spacing w:val="-3"/>
        </w:rPr>
        <w:t xml:space="preserve"> </w:t>
      </w:r>
      <w:r>
        <w:t>membership;</w:t>
      </w:r>
    </w:p>
    <w:p w:rsidR="006D2F0F" w:rsidRDefault="00D07DD6">
      <w:pPr>
        <w:pStyle w:val="ListParagraph"/>
        <w:numPr>
          <w:ilvl w:val="0"/>
          <w:numId w:val="1"/>
        </w:numPr>
        <w:tabs>
          <w:tab w:val="left" w:pos="840"/>
          <w:tab w:val="left" w:pos="841"/>
        </w:tabs>
        <w:spacing w:before="18"/>
        <w:ind w:hanging="360"/>
        <w:rPr>
          <w:rFonts w:ascii="Symbol" w:hAnsi="Symbol"/>
        </w:rPr>
      </w:pPr>
      <w:r>
        <w:t>Physical or mental health or</w:t>
      </w:r>
      <w:r>
        <w:rPr>
          <w:spacing w:val="-8"/>
        </w:rPr>
        <w:t xml:space="preserve"> </w:t>
      </w:r>
      <w:r>
        <w:t>condition;</w:t>
      </w:r>
    </w:p>
    <w:p w:rsidR="006D2F0F" w:rsidRDefault="00D07DD6">
      <w:pPr>
        <w:pStyle w:val="ListParagraph"/>
        <w:numPr>
          <w:ilvl w:val="0"/>
          <w:numId w:val="1"/>
        </w:numPr>
        <w:tabs>
          <w:tab w:val="left" w:pos="840"/>
          <w:tab w:val="left" w:pos="841"/>
        </w:tabs>
        <w:spacing w:before="17"/>
        <w:ind w:hanging="360"/>
        <w:rPr>
          <w:rFonts w:ascii="Symbol" w:hAnsi="Symbol"/>
        </w:rPr>
      </w:pPr>
      <w:r>
        <w:t>Sexual life or sexual</w:t>
      </w:r>
      <w:r>
        <w:rPr>
          <w:spacing w:val="-6"/>
        </w:rPr>
        <w:t xml:space="preserve"> </w:t>
      </w:r>
      <w:r>
        <w:t>orientation;</w:t>
      </w:r>
    </w:p>
    <w:p w:rsidR="006D2F0F" w:rsidRDefault="00D07DD6">
      <w:pPr>
        <w:pStyle w:val="ListParagraph"/>
        <w:numPr>
          <w:ilvl w:val="0"/>
          <w:numId w:val="1"/>
        </w:numPr>
        <w:tabs>
          <w:tab w:val="left" w:pos="840"/>
          <w:tab w:val="left" w:pos="841"/>
        </w:tabs>
        <w:spacing w:before="20"/>
        <w:ind w:hanging="360"/>
        <w:rPr>
          <w:rFonts w:ascii="Symbol" w:hAnsi="Symbol"/>
        </w:rPr>
      </w:pPr>
      <w:r>
        <w:t>Genetic</w:t>
      </w:r>
      <w:r>
        <w:rPr>
          <w:spacing w:val="-2"/>
        </w:rPr>
        <w:t xml:space="preserve"> </w:t>
      </w:r>
      <w:r>
        <w:t>data</w:t>
      </w:r>
    </w:p>
    <w:p w:rsidR="006D2F0F" w:rsidRDefault="00D07DD6">
      <w:pPr>
        <w:pStyle w:val="ListParagraph"/>
        <w:numPr>
          <w:ilvl w:val="0"/>
          <w:numId w:val="1"/>
        </w:numPr>
        <w:tabs>
          <w:tab w:val="left" w:pos="840"/>
          <w:tab w:val="left" w:pos="841"/>
        </w:tabs>
        <w:spacing w:before="17"/>
        <w:ind w:hanging="360"/>
        <w:rPr>
          <w:rFonts w:ascii="Symbol" w:hAnsi="Symbol"/>
        </w:rPr>
      </w:pPr>
      <w:r>
        <w:t>Biometric data (including facial recognition and</w:t>
      </w:r>
      <w:r>
        <w:rPr>
          <w:spacing w:val="-10"/>
        </w:rPr>
        <w:t xml:space="preserve"> </w:t>
      </w:r>
      <w:r>
        <w:t>fingerprinting)</w:t>
      </w:r>
    </w:p>
    <w:p w:rsidR="006D2F0F" w:rsidRDefault="006D2F0F">
      <w:pPr>
        <w:pStyle w:val="BodyText"/>
        <w:spacing w:before="1"/>
        <w:rPr>
          <w:sz w:val="21"/>
        </w:rPr>
      </w:pPr>
    </w:p>
    <w:p w:rsidR="006D2F0F" w:rsidRDefault="00D07DD6">
      <w:pPr>
        <w:pStyle w:val="BodyText"/>
        <w:spacing w:line="256" w:lineRule="auto"/>
        <w:ind w:left="120" w:right="115"/>
        <w:jc w:val="both"/>
      </w:pPr>
      <w:r>
        <w:t>Criminal</w:t>
      </w:r>
      <w:r>
        <w:rPr>
          <w:spacing w:val="-12"/>
        </w:rPr>
        <w:t xml:space="preserve"> </w:t>
      </w:r>
      <w:r>
        <w:t>Offence</w:t>
      </w:r>
      <w:r>
        <w:rPr>
          <w:spacing w:val="-8"/>
        </w:rPr>
        <w:t xml:space="preserve"> </w:t>
      </w:r>
      <w:r>
        <w:t>data</w:t>
      </w:r>
      <w:r>
        <w:rPr>
          <w:spacing w:val="-12"/>
        </w:rPr>
        <w:t xml:space="preserve"> </w:t>
      </w:r>
      <w:r>
        <w:t>is</w:t>
      </w:r>
      <w:r>
        <w:rPr>
          <w:spacing w:val="-11"/>
        </w:rPr>
        <w:t xml:space="preserve"> </w:t>
      </w:r>
      <w:r>
        <w:t>not</w:t>
      </w:r>
      <w:r>
        <w:rPr>
          <w:spacing w:val="-9"/>
        </w:rPr>
        <w:t xml:space="preserve"> </w:t>
      </w:r>
      <w:r>
        <w:t>included</w:t>
      </w:r>
      <w:r>
        <w:rPr>
          <w:spacing w:val="-10"/>
        </w:rPr>
        <w:t xml:space="preserve"> </w:t>
      </w:r>
      <w:r>
        <w:t>in</w:t>
      </w:r>
      <w:r>
        <w:rPr>
          <w:spacing w:val="-12"/>
        </w:rPr>
        <w:t xml:space="preserve"> </w:t>
      </w:r>
      <w:r>
        <w:t>the</w:t>
      </w:r>
      <w:r>
        <w:rPr>
          <w:spacing w:val="-11"/>
        </w:rPr>
        <w:t xml:space="preserve"> </w:t>
      </w:r>
      <w:r>
        <w:t>definition</w:t>
      </w:r>
      <w:r>
        <w:rPr>
          <w:spacing w:val="-12"/>
        </w:rPr>
        <w:t xml:space="preserve"> </w:t>
      </w:r>
      <w:r>
        <w:t>of</w:t>
      </w:r>
      <w:r>
        <w:rPr>
          <w:spacing w:val="-9"/>
        </w:rPr>
        <w:t xml:space="preserve"> </w:t>
      </w:r>
      <w:r>
        <w:t>Special</w:t>
      </w:r>
      <w:r>
        <w:rPr>
          <w:spacing w:val="-9"/>
        </w:rPr>
        <w:t xml:space="preserve"> </w:t>
      </w:r>
      <w:r>
        <w:t>Category</w:t>
      </w:r>
      <w:r>
        <w:rPr>
          <w:spacing w:val="-10"/>
        </w:rPr>
        <w:t xml:space="preserve"> </w:t>
      </w:r>
      <w:r>
        <w:t>Personal</w:t>
      </w:r>
      <w:r>
        <w:rPr>
          <w:spacing w:val="-9"/>
        </w:rPr>
        <w:t xml:space="preserve"> </w:t>
      </w:r>
      <w:r>
        <w:t>data</w:t>
      </w:r>
      <w:r>
        <w:rPr>
          <w:spacing w:val="-12"/>
        </w:rPr>
        <w:t xml:space="preserve"> </w:t>
      </w:r>
      <w:r>
        <w:t>but</w:t>
      </w:r>
      <w:r>
        <w:rPr>
          <w:spacing w:val="-9"/>
        </w:rPr>
        <w:t xml:space="preserve"> </w:t>
      </w:r>
      <w:r>
        <w:t>is</w:t>
      </w:r>
      <w:r>
        <w:rPr>
          <w:spacing w:val="-11"/>
        </w:rPr>
        <w:t xml:space="preserve"> </w:t>
      </w:r>
      <w:r>
        <w:t>similarly protected.</w:t>
      </w:r>
    </w:p>
    <w:p w:rsidR="006D2F0F" w:rsidRDefault="006D2F0F">
      <w:pPr>
        <w:pStyle w:val="BodyText"/>
        <w:rPr>
          <w:sz w:val="20"/>
        </w:rPr>
      </w:pPr>
    </w:p>
    <w:p w:rsidR="004A3E04" w:rsidRDefault="004E078E">
      <w:pPr>
        <w:ind w:left="170"/>
        <w:rPr>
          <w:rFonts w:ascii="Calibri Light"/>
          <w:color w:val="4472C4"/>
          <w:sz w:val="20"/>
        </w:rPr>
      </w:pPr>
      <w:r>
        <w:t>Schools and their staff MUST be particularly careful when handling special category personal data and/or criminal offence data, particularly when it is necessary to share it with other organisations, to ensure it is protected adequately at all times.</w:t>
      </w:r>
      <w:r w:rsidR="005C0654">
        <w:rPr>
          <w:rFonts w:ascii="Calibri Light"/>
          <w:color w:val="4472C4"/>
          <w:sz w:val="20"/>
        </w:rPr>
        <w:t xml:space="preserve"> </w:t>
      </w: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4E078E" w:rsidRPr="005C0654" w:rsidRDefault="00DC2C57" w:rsidP="005C0654">
      <w:pPr>
        <w:pStyle w:val="BodyText"/>
        <w:rPr>
          <w:rFonts w:ascii="Calibri Light"/>
          <w:sz w:val="20"/>
        </w:rPr>
      </w:pPr>
      <w:r>
        <w:rPr>
          <w:noProof/>
          <w:lang w:bidi="ar-SA"/>
        </w:rPr>
        <w:drawing>
          <wp:inline distT="0" distB="0" distL="0" distR="0">
            <wp:extent cx="2942170" cy="1000125"/>
            <wp:effectExtent l="0" t="0" r="0" b="0"/>
            <wp:docPr id="23"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6D2F0F" w:rsidRDefault="00D07DD6">
      <w:pPr>
        <w:pStyle w:val="Heading1"/>
        <w:spacing w:before="182"/>
        <w:rPr>
          <w:u w:val="none"/>
        </w:rPr>
      </w:pPr>
      <w:r>
        <w:t>Slide 7:</w:t>
      </w:r>
    </w:p>
    <w:p w:rsidR="006D2F0F" w:rsidRDefault="00D07DD6">
      <w:pPr>
        <w:spacing w:before="184"/>
        <w:ind w:left="120"/>
        <w:rPr>
          <w:sz w:val="28"/>
        </w:rPr>
      </w:pPr>
      <w:r>
        <w:rPr>
          <w:sz w:val="24"/>
        </w:rPr>
        <w:t>Let’s take a look at some more key terminology</w:t>
      </w:r>
      <w:r>
        <w:rPr>
          <w:sz w:val="28"/>
        </w:rPr>
        <w:t>.</w:t>
      </w:r>
    </w:p>
    <w:p w:rsidR="006D2F0F" w:rsidRDefault="00D07DD6">
      <w:pPr>
        <w:pStyle w:val="BodyText"/>
        <w:spacing w:before="186" w:line="256" w:lineRule="auto"/>
        <w:ind w:left="120" w:right="114"/>
        <w:jc w:val="both"/>
      </w:pPr>
      <w:r>
        <w:rPr>
          <w:b/>
          <w:i/>
        </w:rPr>
        <w:t>‘Processing’</w:t>
      </w:r>
      <w:r>
        <w:rPr>
          <w:b/>
          <w:i/>
          <w:spacing w:val="-5"/>
        </w:rPr>
        <w:t xml:space="preserve"> </w:t>
      </w:r>
      <w:r>
        <w:t>means</w:t>
      </w:r>
      <w:r>
        <w:rPr>
          <w:spacing w:val="-2"/>
        </w:rPr>
        <w:t xml:space="preserve"> </w:t>
      </w:r>
      <w:r>
        <w:t>any</w:t>
      </w:r>
      <w:r>
        <w:rPr>
          <w:spacing w:val="-4"/>
        </w:rPr>
        <w:t xml:space="preserve"> </w:t>
      </w:r>
      <w:r>
        <w:t>operation</w:t>
      </w:r>
      <w:r>
        <w:rPr>
          <w:spacing w:val="-5"/>
        </w:rPr>
        <w:t xml:space="preserve"> </w:t>
      </w:r>
      <w:r>
        <w:t>or</w:t>
      </w:r>
      <w:r>
        <w:rPr>
          <w:spacing w:val="-2"/>
        </w:rPr>
        <w:t xml:space="preserve"> </w:t>
      </w:r>
      <w:r>
        <w:t>set</w:t>
      </w:r>
      <w:r>
        <w:rPr>
          <w:spacing w:val="-2"/>
        </w:rPr>
        <w:t xml:space="preserve"> </w:t>
      </w:r>
      <w:r>
        <w:t>of</w:t>
      </w:r>
      <w:r>
        <w:rPr>
          <w:spacing w:val="-5"/>
        </w:rPr>
        <w:t xml:space="preserve"> </w:t>
      </w:r>
      <w:r>
        <w:t>operations</w:t>
      </w:r>
      <w:r>
        <w:rPr>
          <w:spacing w:val="-5"/>
        </w:rPr>
        <w:t xml:space="preserve"> </w:t>
      </w:r>
      <w:r>
        <w:t>which</w:t>
      </w:r>
      <w:r>
        <w:rPr>
          <w:spacing w:val="-4"/>
        </w:rPr>
        <w:t xml:space="preserve"> </w:t>
      </w:r>
      <w:r>
        <w:t>is</w:t>
      </w:r>
      <w:r>
        <w:rPr>
          <w:spacing w:val="-2"/>
        </w:rPr>
        <w:t xml:space="preserve"> </w:t>
      </w:r>
      <w:r>
        <w:t>performed</w:t>
      </w:r>
      <w:r>
        <w:rPr>
          <w:spacing w:val="-5"/>
        </w:rPr>
        <w:t xml:space="preserve"> </w:t>
      </w:r>
      <w:r>
        <w:t>on</w:t>
      </w:r>
      <w:r>
        <w:rPr>
          <w:spacing w:val="-3"/>
        </w:rPr>
        <w:t xml:space="preserve"> </w:t>
      </w:r>
      <w:r>
        <w:t>personal</w:t>
      </w:r>
      <w:r>
        <w:rPr>
          <w:spacing w:val="-3"/>
        </w:rPr>
        <w:t xml:space="preserve"> </w:t>
      </w:r>
      <w:r>
        <w:t>data</w:t>
      </w:r>
      <w:r>
        <w:rPr>
          <w:spacing w:val="-3"/>
        </w:rPr>
        <w:t xml:space="preserve"> </w:t>
      </w:r>
      <w:r>
        <w:t>or</w:t>
      </w:r>
      <w:r>
        <w:rPr>
          <w:spacing w:val="-2"/>
        </w:rPr>
        <w:t xml:space="preserve"> </w:t>
      </w:r>
      <w:r>
        <w:t>sets</w:t>
      </w:r>
      <w:r>
        <w:rPr>
          <w:spacing w:val="-5"/>
        </w:rPr>
        <w:t xml:space="preserve"> </w:t>
      </w:r>
      <w:r>
        <w:t>of personal data. In effect, any time you do anything with personal data you are “processing” it, for example, collecting, recording, organising, structuring, storing, adapting or altering, retrieving, consulting, using, disclosing, dissemination or otherwise making available, alignment or combination, restriction, erasure or</w:t>
      </w:r>
      <w:r>
        <w:rPr>
          <w:spacing w:val="-5"/>
        </w:rPr>
        <w:t xml:space="preserve"> </w:t>
      </w:r>
      <w:r>
        <w:t>destruction.</w:t>
      </w:r>
    </w:p>
    <w:p w:rsidR="006D2F0F" w:rsidRDefault="00D07DD6">
      <w:pPr>
        <w:spacing w:before="159" w:line="256" w:lineRule="auto"/>
        <w:ind w:left="119" w:right="115"/>
        <w:jc w:val="both"/>
      </w:pPr>
      <w:r>
        <w:rPr>
          <w:b/>
          <w:i/>
        </w:rPr>
        <w:t xml:space="preserve">‘Data Controller’ </w:t>
      </w:r>
      <w:r>
        <w:t>means the natural or legal person, public authority, agency or other body which, alone or jointly with others, determines the purposes and means of the processing of personal data. A school is a Data Controller. GDPR stipulates that the Data Controller, ‘</w:t>
      </w:r>
      <w:r>
        <w:rPr>
          <w:i/>
        </w:rPr>
        <w:t>shall be responsible for, and be able to demonstrate, compliance with the principles’</w:t>
      </w:r>
      <w:r>
        <w:t>.</w:t>
      </w:r>
    </w:p>
    <w:p w:rsidR="006D2F0F" w:rsidRDefault="00D07DD6">
      <w:pPr>
        <w:pStyle w:val="BodyText"/>
        <w:spacing w:before="161" w:line="256" w:lineRule="auto"/>
        <w:ind w:left="119" w:right="114"/>
        <w:jc w:val="both"/>
      </w:pPr>
      <w:r>
        <w:t>‘</w:t>
      </w:r>
      <w:r>
        <w:rPr>
          <w:b/>
          <w:i/>
        </w:rPr>
        <w:t>Data Processor</w:t>
      </w:r>
      <w:r>
        <w:t>’ means a natural or legal person, public authority, agency or other body which processes personal data on behalf of the Data Controller. The Data Processor acts on the instruction of the Data Controller. In schools examples would be, a cashless catering provider</w:t>
      </w:r>
      <w:r w:rsidR="00250C5B">
        <w:t>, library system provider, etc.</w:t>
      </w:r>
    </w:p>
    <w:p w:rsidR="006D2F0F" w:rsidRDefault="00D07DD6">
      <w:pPr>
        <w:pStyle w:val="BodyText"/>
        <w:spacing w:before="156"/>
        <w:ind w:left="120" w:right="338"/>
      </w:pPr>
      <w:r>
        <w:rPr>
          <w:color w:val="231F20"/>
        </w:rPr>
        <w:t xml:space="preserve">The </w:t>
      </w:r>
      <w:r>
        <w:rPr>
          <w:b/>
          <w:i/>
          <w:color w:val="231F20"/>
        </w:rPr>
        <w:t xml:space="preserve">Information Commissioner's Office </w:t>
      </w:r>
      <w:r>
        <w:rPr>
          <w:color w:val="231F20"/>
        </w:rPr>
        <w:t>(‘</w:t>
      </w:r>
      <w:r>
        <w:rPr>
          <w:b/>
          <w:i/>
          <w:color w:val="231F20"/>
        </w:rPr>
        <w:t>ICO’</w:t>
      </w:r>
      <w:r>
        <w:rPr>
          <w:color w:val="231F20"/>
        </w:rPr>
        <w:t>) is the UK's independent supervisory body, set up to regulate and enforce the information rights of data subjects within the UK, in accordance with the GDPR and the Data Protection Act 2018. The ICO can impose fines on organisations who do not comply with Data Protection Legislation.</w:t>
      </w:r>
    </w:p>
    <w:p w:rsidR="006D2F0F" w:rsidRDefault="006D2F0F">
      <w:pPr>
        <w:pStyle w:val="BodyText"/>
        <w:spacing w:before="5"/>
        <w:rPr>
          <w:sz w:val="21"/>
        </w:rPr>
      </w:pPr>
    </w:p>
    <w:p w:rsidR="006D2F0F" w:rsidRDefault="00D07DD6">
      <w:pPr>
        <w:pStyle w:val="Heading1"/>
        <w:jc w:val="both"/>
        <w:rPr>
          <w:u w:val="none"/>
        </w:rPr>
      </w:pPr>
      <w:r>
        <w:t>Slide 8: the Data Protection Principles</w:t>
      </w:r>
    </w:p>
    <w:p w:rsidR="006D2F0F" w:rsidRDefault="006D2F0F">
      <w:pPr>
        <w:pStyle w:val="BodyText"/>
        <w:spacing w:before="10"/>
        <w:rPr>
          <w:b/>
          <w:sz w:val="10"/>
        </w:rPr>
      </w:pPr>
    </w:p>
    <w:p w:rsidR="006D2F0F" w:rsidRDefault="00D07DD6">
      <w:pPr>
        <w:pStyle w:val="BodyText"/>
        <w:spacing w:before="56"/>
        <w:ind w:left="120"/>
      </w:pPr>
      <w:r>
        <w:t xml:space="preserve">So, </w:t>
      </w:r>
      <w:proofErr w:type="spellStart"/>
      <w:proofErr w:type="gramStart"/>
      <w:r w:rsidR="00A17FA4">
        <w:t>le</w:t>
      </w:r>
      <w:bookmarkStart w:id="0" w:name="_GoBack"/>
      <w:bookmarkEnd w:id="0"/>
      <w:r w:rsidR="00A17FA4">
        <w:t>ts</w:t>
      </w:r>
      <w:proofErr w:type="spellEnd"/>
      <w:proofErr w:type="gramEnd"/>
      <w:r>
        <w:t xml:space="preserve"> talk principles.</w:t>
      </w:r>
    </w:p>
    <w:p w:rsidR="006D2F0F" w:rsidRDefault="00D07DD6">
      <w:pPr>
        <w:pStyle w:val="BodyText"/>
        <w:spacing w:before="142" w:line="254" w:lineRule="auto"/>
        <w:ind w:left="119" w:right="110"/>
      </w:pPr>
      <w:r>
        <w:t xml:space="preserve">The GDPR contains </w:t>
      </w:r>
      <w:r>
        <w:rPr>
          <w:b/>
        </w:rPr>
        <w:t>7 Data Protection Principles</w:t>
      </w:r>
      <w:r>
        <w:t>. Schools (and, by extension, their staff), are required to comply with these 7 key principles when dealing with personal information.</w:t>
      </w:r>
    </w:p>
    <w:p w:rsidR="006D2F0F" w:rsidRDefault="00D07DD6">
      <w:pPr>
        <w:pStyle w:val="BodyText"/>
        <w:spacing w:before="124"/>
        <w:ind w:left="119"/>
      </w:pPr>
      <w:r>
        <w:t>The 7 principles are:</w:t>
      </w:r>
    </w:p>
    <w:p w:rsidR="006D2F0F" w:rsidRDefault="006D2F0F">
      <w:pPr>
        <w:pStyle w:val="BodyText"/>
        <w:spacing w:before="1"/>
        <w:rPr>
          <w:sz w:val="23"/>
        </w:rPr>
      </w:pPr>
    </w:p>
    <w:p w:rsidR="006D2F0F" w:rsidRDefault="00D07DD6">
      <w:pPr>
        <w:pStyle w:val="Heading1"/>
        <w:rPr>
          <w:u w:val="none"/>
        </w:rPr>
      </w:pPr>
      <w:r>
        <w:t>Slide 9:</w:t>
      </w:r>
    </w:p>
    <w:p w:rsidR="004E078E" w:rsidRDefault="00D07DD6" w:rsidP="00277A0F">
      <w:pPr>
        <w:pStyle w:val="BodyText"/>
        <w:spacing w:before="140" w:line="256" w:lineRule="auto"/>
        <w:ind w:left="686" w:right="112"/>
        <w:jc w:val="both"/>
      </w:pPr>
      <w:bookmarkStart w:id="1" w:name="Lawfulness,_fairness_and_transparency_–_"/>
      <w:bookmarkEnd w:id="1"/>
      <w:r>
        <w:rPr>
          <w:b/>
          <w:i/>
        </w:rPr>
        <w:t xml:space="preserve">Lawfulness, fairness and transparency </w:t>
      </w:r>
      <w:r>
        <w:t xml:space="preserve">– personal data must be processed lawfully, fairly and in a transparent manner. As a Data Controller, a school must have a </w:t>
      </w:r>
      <w:r>
        <w:rPr>
          <w:b/>
          <w:i/>
        </w:rPr>
        <w:t xml:space="preserve">legal basis </w:t>
      </w:r>
      <w:r>
        <w:t>for any processing</w:t>
      </w:r>
      <w:r>
        <w:rPr>
          <w:spacing w:val="-5"/>
        </w:rPr>
        <w:t xml:space="preserve"> </w:t>
      </w:r>
      <w:r>
        <w:t>that</w:t>
      </w:r>
      <w:r>
        <w:rPr>
          <w:spacing w:val="-3"/>
        </w:rPr>
        <w:t xml:space="preserve"> </w:t>
      </w:r>
      <w:r>
        <w:t>it</w:t>
      </w:r>
      <w:r>
        <w:rPr>
          <w:spacing w:val="-3"/>
        </w:rPr>
        <w:t xml:space="preserve"> </w:t>
      </w:r>
      <w:r>
        <w:t>carries</w:t>
      </w:r>
      <w:r>
        <w:rPr>
          <w:spacing w:val="-4"/>
        </w:rPr>
        <w:t xml:space="preserve"> </w:t>
      </w:r>
      <w:r>
        <w:t>out in</w:t>
      </w:r>
      <w:r>
        <w:rPr>
          <w:spacing w:val="-2"/>
        </w:rPr>
        <w:t xml:space="preserve"> </w:t>
      </w:r>
      <w:r>
        <w:t>relation</w:t>
      </w:r>
      <w:r>
        <w:rPr>
          <w:spacing w:val="-5"/>
        </w:rPr>
        <w:t xml:space="preserve"> </w:t>
      </w:r>
      <w:r>
        <w:t>to</w:t>
      </w:r>
      <w:r>
        <w:rPr>
          <w:spacing w:val="-2"/>
        </w:rPr>
        <w:t xml:space="preserve"> </w:t>
      </w:r>
      <w:r>
        <w:t>any</w:t>
      </w:r>
      <w:r>
        <w:rPr>
          <w:spacing w:val="-2"/>
        </w:rPr>
        <w:t xml:space="preserve"> </w:t>
      </w:r>
      <w:r>
        <w:t>personal</w:t>
      </w:r>
      <w:r>
        <w:rPr>
          <w:spacing w:val="-1"/>
        </w:rPr>
        <w:t xml:space="preserve"> </w:t>
      </w:r>
      <w:r>
        <w:t>data</w:t>
      </w:r>
      <w:r>
        <w:rPr>
          <w:spacing w:val="-3"/>
        </w:rPr>
        <w:t xml:space="preserve"> </w:t>
      </w:r>
      <w:r>
        <w:t>and</w:t>
      </w:r>
      <w:r>
        <w:rPr>
          <w:spacing w:val="-4"/>
        </w:rPr>
        <w:t xml:space="preserve"> </w:t>
      </w:r>
      <w:r>
        <w:t>must</w:t>
      </w:r>
      <w:r>
        <w:rPr>
          <w:spacing w:val="-5"/>
        </w:rPr>
        <w:t xml:space="preserve"> </w:t>
      </w:r>
      <w:r>
        <w:t>make</w:t>
      </w:r>
      <w:r>
        <w:rPr>
          <w:spacing w:val="-1"/>
        </w:rPr>
        <w:t xml:space="preserve"> </w:t>
      </w:r>
      <w:r>
        <w:t>sure that</w:t>
      </w:r>
      <w:r>
        <w:rPr>
          <w:spacing w:val="-3"/>
        </w:rPr>
        <w:t xml:space="preserve"> </w:t>
      </w:r>
      <w:r>
        <w:t>the</w:t>
      </w:r>
      <w:r>
        <w:rPr>
          <w:spacing w:val="-4"/>
        </w:rPr>
        <w:t xml:space="preserve"> </w:t>
      </w:r>
      <w:r>
        <w:t>data subjects are aware of how they are using their personal data. There are 6 potential legal bases for processing personal data, we go into these in more detail later in this</w:t>
      </w:r>
      <w:r>
        <w:rPr>
          <w:spacing w:val="-20"/>
        </w:rPr>
        <w:t xml:space="preserve"> </w:t>
      </w:r>
      <w:r>
        <w:t>video.</w:t>
      </w:r>
    </w:p>
    <w:p w:rsidR="00277A0F" w:rsidRDefault="00277A0F" w:rsidP="00277A0F">
      <w:pPr>
        <w:pStyle w:val="BodyText"/>
        <w:spacing w:before="140" w:line="256" w:lineRule="auto"/>
        <w:ind w:left="686" w:right="112"/>
        <w:jc w:val="both"/>
      </w:pPr>
    </w:p>
    <w:p w:rsidR="006D2F0F" w:rsidRDefault="00D07DD6">
      <w:pPr>
        <w:pStyle w:val="Heading1"/>
        <w:spacing w:before="2"/>
        <w:rPr>
          <w:u w:val="none"/>
        </w:rPr>
      </w:pPr>
      <w:r>
        <w:t>Slide 10:</w:t>
      </w:r>
    </w:p>
    <w:p w:rsidR="006D2F0F" w:rsidRDefault="006D2F0F">
      <w:pPr>
        <w:pStyle w:val="BodyText"/>
        <w:spacing w:before="9"/>
        <w:rPr>
          <w:b/>
          <w:sz w:val="10"/>
        </w:rPr>
      </w:pPr>
    </w:p>
    <w:p w:rsidR="006D2F0F" w:rsidRDefault="00D07DD6">
      <w:pPr>
        <w:pStyle w:val="BodyText"/>
        <w:spacing w:before="57" w:line="256" w:lineRule="auto"/>
        <w:ind w:left="686"/>
      </w:pPr>
      <w:bookmarkStart w:id="2" w:name="Purpose_Limitation_-_personal_informatio"/>
      <w:bookmarkEnd w:id="2"/>
      <w:r>
        <w:rPr>
          <w:b/>
          <w:i/>
        </w:rPr>
        <w:t>Purpose</w:t>
      </w:r>
      <w:r>
        <w:rPr>
          <w:b/>
          <w:i/>
          <w:spacing w:val="-10"/>
        </w:rPr>
        <w:t xml:space="preserve"> </w:t>
      </w:r>
      <w:r>
        <w:rPr>
          <w:b/>
          <w:i/>
        </w:rPr>
        <w:t>Limitation</w:t>
      </w:r>
      <w:r>
        <w:rPr>
          <w:b/>
          <w:i/>
          <w:spacing w:val="-8"/>
        </w:rPr>
        <w:t xml:space="preserve"> </w:t>
      </w:r>
      <w:r>
        <w:t>-</w:t>
      </w:r>
      <w:r>
        <w:rPr>
          <w:spacing w:val="-10"/>
        </w:rPr>
        <w:t xml:space="preserve"> </w:t>
      </w:r>
      <w:r>
        <w:t>personal</w:t>
      </w:r>
      <w:r>
        <w:rPr>
          <w:spacing w:val="-9"/>
        </w:rPr>
        <w:t xml:space="preserve"> </w:t>
      </w:r>
      <w:r>
        <w:t>information</w:t>
      </w:r>
      <w:r>
        <w:rPr>
          <w:spacing w:val="-10"/>
        </w:rPr>
        <w:t xml:space="preserve"> </w:t>
      </w:r>
      <w:r>
        <w:t>can</w:t>
      </w:r>
      <w:r>
        <w:rPr>
          <w:spacing w:val="-12"/>
        </w:rPr>
        <w:t xml:space="preserve"> </w:t>
      </w:r>
      <w:r>
        <w:t>only</w:t>
      </w:r>
      <w:r>
        <w:rPr>
          <w:spacing w:val="-9"/>
        </w:rPr>
        <w:t xml:space="preserve"> </w:t>
      </w:r>
      <w:r>
        <w:t>be</w:t>
      </w:r>
      <w:r>
        <w:rPr>
          <w:spacing w:val="-11"/>
        </w:rPr>
        <w:t xml:space="preserve"> </w:t>
      </w:r>
      <w:r>
        <w:t>used</w:t>
      </w:r>
      <w:r>
        <w:rPr>
          <w:spacing w:val="-10"/>
        </w:rPr>
        <w:t xml:space="preserve"> </w:t>
      </w:r>
      <w:r>
        <w:t>for</w:t>
      </w:r>
      <w:r>
        <w:rPr>
          <w:spacing w:val="-12"/>
        </w:rPr>
        <w:t xml:space="preserve"> </w:t>
      </w:r>
      <w:r>
        <w:t>specified,</w:t>
      </w:r>
      <w:r>
        <w:rPr>
          <w:spacing w:val="-11"/>
        </w:rPr>
        <w:t xml:space="preserve"> </w:t>
      </w:r>
      <w:r>
        <w:t>explicit</w:t>
      </w:r>
      <w:r>
        <w:rPr>
          <w:spacing w:val="-11"/>
        </w:rPr>
        <w:t xml:space="preserve"> </w:t>
      </w:r>
      <w:r>
        <w:t>and</w:t>
      </w:r>
      <w:r>
        <w:rPr>
          <w:spacing w:val="-10"/>
        </w:rPr>
        <w:t xml:space="preserve"> </w:t>
      </w:r>
      <w:r>
        <w:t>legitimate purposes</w:t>
      </w:r>
      <w:r>
        <w:rPr>
          <w:spacing w:val="-4"/>
        </w:rPr>
        <w:t xml:space="preserve"> </w:t>
      </w:r>
      <w:r>
        <w:t>and</w:t>
      </w:r>
      <w:r>
        <w:rPr>
          <w:spacing w:val="-4"/>
        </w:rPr>
        <w:t xml:space="preserve"> </w:t>
      </w:r>
      <w:r>
        <w:t>not</w:t>
      </w:r>
      <w:r>
        <w:rPr>
          <w:spacing w:val="-4"/>
        </w:rPr>
        <w:t xml:space="preserve"> </w:t>
      </w:r>
      <w:r>
        <w:t>further</w:t>
      </w:r>
      <w:r>
        <w:rPr>
          <w:spacing w:val="-3"/>
        </w:rPr>
        <w:t xml:space="preserve"> </w:t>
      </w:r>
      <w:r>
        <w:t>processed</w:t>
      </w:r>
      <w:r>
        <w:rPr>
          <w:spacing w:val="-4"/>
        </w:rPr>
        <w:t xml:space="preserve"> </w:t>
      </w:r>
      <w:r>
        <w:t>in</w:t>
      </w:r>
      <w:r>
        <w:rPr>
          <w:spacing w:val="-5"/>
        </w:rPr>
        <w:t xml:space="preserve"> </w:t>
      </w:r>
      <w:r>
        <w:t>a</w:t>
      </w:r>
      <w:r>
        <w:rPr>
          <w:spacing w:val="-3"/>
        </w:rPr>
        <w:t xml:space="preserve"> </w:t>
      </w:r>
      <w:r>
        <w:t>manner</w:t>
      </w:r>
      <w:r>
        <w:rPr>
          <w:spacing w:val="-4"/>
        </w:rPr>
        <w:t xml:space="preserve"> </w:t>
      </w:r>
      <w:r>
        <w:t>that</w:t>
      </w:r>
      <w:r>
        <w:rPr>
          <w:spacing w:val="-3"/>
        </w:rPr>
        <w:t xml:space="preserve"> </w:t>
      </w:r>
      <w:r>
        <w:t>is</w:t>
      </w:r>
      <w:r>
        <w:rPr>
          <w:spacing w:val="-3"/>
        </w:rPr>
        <w:t xml:space="preserve"> </w:t>
      </w:r>
      <w:r>
        <w:t>incompatible</w:t>
      </w:r>
      <w:r>
        <w:rPr>
          <w:spacing w:val="-4"/>
        </w:rPr>
        <w:t xml:space="preserve"> </w:t>
      </w:r>
      <w:r>
        <w:t>with</w:t>
      </w:r>
      <w:r>
        <w:rPr>
          <w:spacing w:val="-4"/>
        </w:rPr>
        <w:t xml:space="preserve"> </w:t>
      </w:r>
      <w:r>
        <w:t>those</w:t>
      </w:r>
      <w:r>
        <w:rPr>
          <w:spacing w:val="-6"/>
        </w:rPr>
        <w:t xml:space="preserve"> </w:t>
      </w:r>
      <w:r>
        <w:t>purposes.</w:t>
      </w:r>
    </w:p>
    <w:p w:rsidR="004E078E" w:rsidRDefault="004E078E" w:rsidP="004E078E"/>
    <w:p w:rsidR="00D07DD6" w:rsidRPr="00277A0F" w:rsidRDefault="004E078E" w:rsidP="00277A0F">
      <w:pPr>
        <w:ind w:left="170"/>
      </w:pPr>
      <w:r>
        <w:t>This means that once you have explained to the data subject what personal data you are using, how and why, you cannot then change how you use it without first making the data subject aware</w:t>
      </w:r>
      <w:r>
        <w:rPr>
          <w:spacing w:val="-6"/>
        </w:rPr>
        <w:t xml:space="preserve"> </w:t>
      </w:r>
      <w:r>
        <w:t>of</w:t>
      </w:r>
      <w:r>
        <w:rPr>
          <w:spacing w:val="-7"/>
        </w:rPr>
        <w:t xml:space="preserve"> </w:t>
      </w:r>
      <w:r>
        <w:t>this.</w:t>
      </w:r>
      <w:r>
        <w:rPr>
          <w:spacing w:val="-6"/>
        </w:rPr>
        <w:t xml:space="preserve"> </w:t>
      </w:r>
      <w:r>
        <w:t>This</w:t>
      </w:r>
      <w:r>
        <w:rPr>
          <w:spacing w:val="-4"/>
        </w:rPr>
        <w:t xml:space="preserve"> </w:t>
      </w:r>
      <w:r>
        <w:t>principle</w:t>
      </w:r>
      <w:r>
        <w:rPr>
          <w:spacing w:val="-6"/>
        </w:rPr>
        <w:t xml:space="preserve"> </w:t>
      </w:r>
      <w:r>
        <w:t>also</w:t>
      </w:r>
      <w:r>
        <w:rPr>
          <w:spacing w:val="-5"/>
        </w:rPr>
        <w:t xml:space="preserve"> </w:t>
      </w:r>
      <w:r>
        <w:t>prevents</w:t>
      </w:r>
      <w:r>
        <w:rPr>
          <w:spacing w:val="-7"/>
        </w:rPr>
        <w:t xml:space="preserve"> </w:t>
      </w:r>
      <w:r>
        <w:t>data</w:t>
      </w:r>
      <w:r>
        <w:rPr>
          <w:spacing w:val="-7"/>
        </w:rPr>
        <w:t xml:space="preserve"> </w:t>
      </w:r>
      <w:r>
        <w:t>controllers</w:t>
      </w:r>
      <w:r>
        <w:rPr>
          <w:spacing w:val="-3"/>
        </w:rPr>
        <w:t xml:space="preserve"> </w:t>
      </w:r>
      <w:r>
        <w:t>from</w:t>
      </w:r>
      <w:r>
        <w:rPr>
          <w:spacing w:val="-3"/>
        </w:rPr>
        <w:t xml:space="preserve"> </w:t>
      </w:r>
      <w:r>
        <w:t>using</w:t>
      </w:r>
      <w:r>
        <w:rPr>
          <w:spacing w:val="-5"/>
        </w:rPr>
        <w:t xml:space="preserve"> </w:t>
      </w:r>
      <w:r>
        <w:t>a</w:t>
      </w:r>
      <w:r>
        <w:rPr>
          <w:spacing w:val="-6"/>
        </w:rPr>
        <w:t xml:space="preserve"> </w:t>
      </w:r>
      <w:r>
        <w:t>blanket</w:t>
      </w:r>
      <w:r>
        <w:rPr>
          <w:spacing w:val="-4"/>
        </w:rPr>
        <w:t xml:space="preserve"> </w:t>
      </w:r>
      <w:r>
        <w:t>basis</w:t>
      </w:r>
      <w:r>
        <w:rPr>
          <w:spacing w:val="-4"/>
        </w:rPr>
        <w:t xml:space="preserve"> </w:t>
      </w:r>
      <w:r>
        <w:t>reason</w:t>
      </w:r>
      <w:r>
        <w:rPr>
          <w:spacing w:val="-7"/>
        </w:rPr>
        <w:t xml:space="preserve"> </w:t>
      </w:r>
      <w:r>
        <w:t>for processing, i.e. a school cannot simply say that they will use the personal data that they collect for whatever purpose they consider</w:t>
      </w:r>
      <w:r>
        <w:rPr>
          <w:spacing w:val="-7"/>
        </w:rPr>
        <w:t xml:space="preserve"> </w:t>
      </w:r>
      <w:r>
        <w:t>appropriate;</w:t>
      </w: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277A0F" w:rsidRDefault="00DC2C57" w:rsidP="005C0654">
      <w:pPr>
        <w:pStyle w:val="BodyText"/>
      </w:pPr>
      <w:r>
        <w:rPr>
          <w:noProof/>
          <w:lang w:bidi="ar-SA"/>
        </w:rPr>
        <w:drawing>
          <wp:inline distT="0" distB="0" distL="0" distR="0">
            <wp:extent cx="2942170" cy="1000125"/>
            <wp:effectExtent l="0" t="0" r="0" b="0"/>
            <wp:docPr id="24"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4E078E" w:rsidRDefault="004E078E" w:rsidP="004E078E">
      <w:pPr>
        <w:ind w:left="170"/>
      </w:pPr>
      <w:r>
        <w:t>For example personal information collected from parents to make payments for a school trip cannot then be used for a different purpose such as another event.</w:t>
      </w:r>
    </w:p>
    <w:p w:rsidR="006D2F0F" w:rsidRDefault="00D07DD6">
      <w:pPr>
        <w:pStyle w:val="Heading1"/>
        <w:spacing w:before="151"/>
        <w:rPr>
          <w:u w:val="none"/>
        </w:rPr>
      </w:pPr>
      <w:r>
        <w:t>Slide 11:</w:t>
      </w:r>
    </w:p>
    <w:p w:rsidR="006D2F0F" w:rsidRDefault="006D2F0F">
      <w:pPr>
        <w:pStyle w:val="BodyText"/>
        <w:spacing w:before="9"/>
        <w:rPr>
          <w:b/>
          <w:sz w:val="10"/>
        </w:rPr>
      </w:pPr>
    </w:p>
    <w:p w:rsidR="006D2F0F" w:rsidRDefault="00D07DD6">
      <w:pPr>
        <w:pStyle w:val="BodyText"/>
        <w:spacing w:before="57" w:line="259" w:lineRule="auto"/>
        <w:ind w:left="686" w:right="317"/>
      </w:pPr>
      <w:r>
        <w:rPr>
          <w:b/>
          <w:i/>
        </w:rPr>
        <w:t xml:space="preserve">Data Minimisation </w:t>
      </w:r>
      <w:r>
        <w:t>– personal data must be adequate, relevant and limited to what is necessary in relation to the purpose for which it is processed i.e. School’s should only collect the personal information they need for the specific purpose, no more and you should be especially careful with this where you are sharing personal data with a third party e.g. a supplier.</w:t>
      </w:r>
    </w:p>
    <w:p w:rsidR="006D2F0F" w:rsidRDefault="00D07DD6">
      <w:pPr>
        <w:pStyle w:val="Heading1"/>
        <w:spacing w:before="158"/>
        <w:rPr>
          <w:u w:val="none"/>
        </w:rPr>
      </w:pPr>
      <w:r>
        <w:t>Slide 12:</w:t>
      </w:r>
    </w:p>
    <w:p w:rsidR="006D2F0F" w:rsidRDefault="006D2F0F">
      <w:pPr>
        <w:pStyle w:val="BodyText"/>
        <w:spacing w:before="10"/>
        <w:rPr>
          <w:b/>
          <w:sz w:val="10"/>
        </w:rPr>
      </w:pPr>
    </w:p>
    <w:p w:rsidR="006D2F0F" w:rsidRDefault="00D07DD6">
      <w:pPr>
        <w:pStyle w:val="BodyText"/>
        <w:spacing w:before="56" w:line="256" w:lineRule="auto"/>
        <w:ind w:left="686" w:right="114"/>
        <w:jc w:val="both"/>
      </w:pPr>
      <w:bookmarkStart w:id="3" w:name="Accuracy_–_personal_data_shall_be_accura"/>
      <w:bookmarkEnd w:id="3"/>
      <w:r>
        <w:rPr>
          <w:b/>
          <w:i/>
        </w:rPr>
        <w:t xml:space="preserve">Accuracy </w:t>
      </w:r>
      <w:r>
        <w:t xml:space="preserve">– personal data shall be accurate and where possible, kept </w:t>
      </w:r>
      <w:r>
        <w:rPr>
          <w:b/>
        </w:rPr>
        <w:t xml:space="preserve">up to date; </w:t>
      </w:r>
      <w:r>
        <w:t>every reasonable step must be taken to ensure that personal data that is inaccurate, is erased or corrected without delay. Schools should think about how they can verify the accuracy of the personal data they collect and how they can ensure that they are keeping it up to date;</w:t>
      </w:r>
    </w:p>
    <w:p w:rsidR="006D2F0F" w:rsidRDefault="00D07DD6">
      <w:pPr>
        <w:pStyle w:val="Heading1"/>
        <w:spacing w:before="1"/>
        <w:rPr>
          <w:u w:val="none"/>
        </w:rPr>
      </w:pPr>
      <w:r>
        <w:t>Slide 13:</w:t>
      </w:r>
    </w:p>
    <w:p w:rsidR="006D2F0F" w:rsidRDefault="006D2F0F">
      <w:pPr>
        <w:pStyle w:val="BodyText"/>
        <w:spacing w:before="7"/>
        <w:rPr>
          <w:b/>
          <w:sz w:val="10"/>
        </w:rPr>
      </w:pPr>
    </w:p>
    <w:p w:rsidR="006D2F0F" w:rsidRDefault="00D07DD6">
      <w:pPr>
        <w:pStyle w:val="BodyText"/>
        <w:spacing w:before="56" w:line="256" w:lineRule="auto"/>
        <w:ind w:left="1252" w:right="114" w:hanging="567"/>
        <w:jc w:val="both"/>
      </w:pPr>
      <w:bookmarkStart w:id="4" w:name="Storage_Limitation_-_personal_data_must_"/>
      <w:bookmarkEnd w:id="4"/>
      <w:r>
        <w:rPr>
          <w:b/>
          <w:i/>
        </w:rPr>
        <w:t>Storage</w:t>
      </w:r>
      <w:r>
        <w:rPr>
          <w:b/>
          <w:i/>
          <w:spacing w:val="-12"/>
        </w:rPr>
        <w:t xml:space="preserve"> </w:t>
      </w:r>
      <w:r>
        <w:rPr>
          <w:b/>
          <w:i/>
        </w:rPr>
        <w:t>Limitation</w:t>
      </w:r>
      <w:r>
        <w:rPr>
          <w:b/>
          <w:i/>
          <w:spacing w:val="-10"/>
        </w:rPr>
        <w:t xml:space="preserve"> </w:t>
      </w:r>
      <w:r>
        <w:t>-</w:t>
      </w:r>
      <w:r>
        <w:rPr>
          <w:spacing w:val="-11"/>
        </w:rPr>
        <w:t xml:space="preserve"> </w:t>
      </w:r>
      <w:r>
        <w:t>personal</w:t>
      </w:r>
      <w:r>
        <w:rPr>
          <w:spacing w:val="-9"/>
        </w:rPr>
        <w:t xml:space="preserve"> </w:t>
      </w:r>
      <w:r>
        <w:t>data</w:t>
      </w:r>
      <w:r>
        <w:rPr>
          <w:spacing w:val="-13"/>
        </w:rPr>
        <w:t xml:space="preserve"> </w:t>
      </w:r>
      <w:r>
        <w:t>must</w:t>
      </w:r>
      <w:r>
        <w:rPr>
          <w:spacing w:val="-10"/>
        </w:rPr>
        <w:t xml:space="preserve"> </w:t>
      </w:r>
      <w:r>
        <w:t>be</w:t>
      </w:r>
      <w:r>
        <w:rPr>
          <w:spacing w:val="-11"/>
        </w:rPr>
        <w:t xml:space="preserve"> </w:t>
      </w:r>
      <w:r>
        <w:t>kept</w:t>
      </w:r>
      <w:r>
        <w:rPr>
          <w:spacing w:val="-7"/>
        </w:rPr>
        <w:t xml:space="preserve"> </w:t>
      </w:r>
      <w:r>
        <w:t>in</w:t>
      </w:r>
      <w:r>
        <w:rPr>
          <w:spacing w:val="-11"/>
        </w:rPr>
        <w:t xml:space="preserve"> </w:t>
      </w:r>
      <w:r>
        <w:t>a</w:t>
      </w:r>
      <w:r>
        <w:rPr>
          <w:spacing w:val="-12"/>
        </w:rPr>
        <w:t xml:space="preserve"> </w:t>
      </w:r>
      <w:r>
        <w:t>format</w:t>
      </w:r>
      <w:r>
        <w:rPr>
          <w:spacing w:val="-10"/>
        </w:rPr>
        <w:t xml:space="preserve"> </w:t>
      </w:r>
      <w:r>
        <w:t>which</w:t>
      </w:r>
      <w:r>
        <w:rPr>
          <w:spacing w:val="-11"/>
        </w:rPr>
        <w:t xml:space="preserve"> </w:t>
      </w:r>
      <w:r>
        <w:t>permits</w:t>
      </w:r>
      <w:r>
        <w:rPr>
          <w:spacing w:val="-11"/>
        </w:rPr>
        <w:t xml:space="preserve"> </w:t>
      </w:r>
      <w:r>
        <w:t>identification</w:t>
      </w:r>
      <w:r>
        <w:rPr>
          <w:spacing w:val="-11"/>
        </w:rPr>
        <w:t xml:space="preserve"> </w:t>
      </w:r>
      <w:r>
        <w:t>of</w:t>
      </w:r>
      <w:r>
        <w:rPr>
          <w:spacing w:val="-11"/>
        </w:rPr>
        <w:t xml:space="preserve"> </w:t>
      </w:r>
      <w:r>
        <w:t>data subjects for no longer than is necessary for the purposes for which the personal data is processed. In practice, this means that your school will need</w:t>
      </w:r>
      <w:r>
        <w:rPr>
          <w:spacing w:val="-19"/>
        </w:rPr>
        <w:t xml:space="preserve"> </w:t>
      </w:r>
      <w:r>
        <w:t>to:</w:t>
      </w:r>
    </w:p>
    <w:p w:rsidR="006D2F0F" w:rsidRDefault="00D07DD6">
      <w:pPr>
        <w:pStyle w:val="ListParagraph"/>
        <w:numPr>
          <w:ilvl w:val="1"/>
          <w:numId w:val="1"/>
        </w:numPr>
        <w:tabs>
          <w:tab w:val="left" w:pos="1560"/>
          <w:tab w:val="left" w:pos="1561"/>
        </w:tabs>
        <w:spacing w:before="2"/>
      </w:pPr>
      <w:r>
        <w:t>review the length of time it keeps personal</w:t>
      </w:r>
      <w:r>
        <w:rPr>
          <w:spacing w:val="-8"/>
        </w:rPr>
        <w:t xml:space="preserve"> </w:t>
      </w:r>
      <w:r>
        <w:t>data;</w:t>
      </w:r>
    </w:p>
    <w:p w:rsidR="006D2F0F" w:rsidRDefault="00D07DD6">
      <w:pPr>
        <w:pStyle w:val="ListParagraph"/>
        <w:numPr>
          <w:ilvl w:val="1"/>
          <w:numId w:val="1"/>
        </w:numPr>
        <w:tabs>
          <w:tab w:val="left" w:pos="1560"/>
          <w:tab w:val="left" w:pos="1561"/>
        </w:tabs>
        <w:spacing w:before="18" w:line="254" w:lineRule="auto"/>
        <w:ind w:right="116"/>
      </w:pPr>
      <w:r>
        <w:t>consider</w:t>
      </w:r>
      <w:r>
        <w:rPr>
          <w:spacing w:val="-6"/>
        </w:rPr>
        <w:t xml:space="preserve"> </w:t>
      </w:r>
      <w:r>
        <w:t>why</w:t>
      </w:r>
      <w:r>
        <w:rPr>
          <w:spacing w:val="-5"/>
        </w:rPr>
        <w:t xml:space="preserve"> </w:t>
      </w:r>
      <w:r>
        <w:t>the</w:t>
      </w:r>
      <w:r>
        <w:rPr>
          <w:spacing w:val="-5"/>
        </w:rPr>
        <w:t xml:space="preserve"> </w:t>
      </w:r>
      <w:r>
        <w:t>school</w:t>
      </w:r>
      <w:r>
        <w:rPr>
          <w:spacing w:val="-4"/>
        </w:rPr>
        <w:t xml:space="preserve"> </w:t>
      </w:r>
      <w:r>
        <w:t>needs</w:t>
      </w:r>
      <w:r>
        <w:rPr>
          <w:spacing w:val="-3"/>
        </w:rPr>
        <w:t xml:space="preserve"> </w:t>
      </w:r>
      <w:r>
        <w:t>to</w:t>
      </w:r>
      <w:r>
        <w:rPr>
          <w:spacing w:val="-2"/>
        </w:rPr>
        <w:t xml:space="preserve"> </w:t>
      </w:r>
      <w:r>
        <w:t>keep</w:t>
      </w:r>
      <w:r>
        <w:rPr>
          <w:spacing w:val="-5"/>
        </w:rPr>
        <w:t xml:space="preserve"> </w:t>
      </w:r>
      <w:r>
        <w:t>the</w:t>
      </w:r>
      <w:r>
        <w:rPr>
          <w:spacing w:val="-3"/>
        </w:rPr>
        <w:t xml:space="preserve"> </w:t>
      </w:r>
      <w:r>
        <w:t>personal</w:t>
      </w:r>
      <w:r>
        <w:rPr>
          <w:spacing w:val="-6"/>
        </w:rPr>
        <w:t xml:space="preserve"> </w:t>
      </w:r>
      <w:r>
        <w:t>data</w:t>
      </w:r>
      <w:r>
        <w:rPr>
          <w:spacing w:val="-3"/>
        </w:rPr>
        <w:t xml:space="preserve"> </w:t>
      </w:r>
      <w:r>
        <w:t>and</w:t>
      </w:r>
      <w:r>
        <w:rPr>
          <w:spacing w:val="-4"/>
        </w:rPr>
        <w:t xml:space="preserve"> </w:t>
      </w:r>
      <w:r>
        <w:t>how</w:t>
      </w:r>
      <w:r>
        <w:rPr>
          <w:spacing w:val="-3"/>
        </w:rPr>
        <w:t xml:space="preserve"> </w:t>
      </w:r>
      <w:r>
        <w:t>long</w:t>
      </w:r>
      <w:r>
        <w:rPr>
          <w:spacing w:val="-4"/>
        </w:rPr>
        <w:t xml:space="preserve"> </w:t>
      </w:r>
      <w:r>
        <w:t>it</w:t>
      </w:r>
      <w:r>
        <w:rPr>
          <w:spacing w:val="-4"/>
        </w:rPr>
        <w:t xml:space="preserve"> </w:t>
      </w:r>
      <w:r>
        <w:t>needs</w:t>
      </w:r>
      <w:r>
        <w:rPr>
          <w:spacing w:val="-6"/>
        </w:rPr>
        <w:t xml:space="preserve"> </w:t>
      </w:r>
      <w:r>
        <w:t>to</w:t>
      </w:r>
      <w:r>
        <w:rPr>
          <w:spacing w:val="-2"/>
        </w:rPr>
        <w:t xml:space="preserve"> </w:t>
      </w:r>
      <w:r>
        <w:t>be retained;</w:t>
      </w:r>
      <w:r>
        <w:rPr>
          <w:spacing w:val="-2"/>
        </w:rPr>
        <w:t xml:space="preserve"> </w:t>
      </w:r>
      <w:r>
        <w:t>and</w:t>
      </w:r>
    </w:p>
    <w:p w:rsidR="006D2F0F" w:rsidRDefault="00D07DD6">
      <w:pPr>
        <w:pStyle w:val="ListParagraph"/>
        <w:numPr>
          <w:ilvl w:val="1"/>
          <w:numId w:val="1"/>
        </w:numPr>
        <w:tabs>
          <w:tab w:val="left" w:pos="1560"/>
          <w:tab w:val="left" w:pos="1561"/>
        </w:tabs>
        <w:spacing w:before="4"/>
      </w:pPr>
      <w:proofErr w:type="gramStart"/>
      <w:r>
        <w:t>securely</w:t>
      </w:r>
      <w:proofErr w:type="gramEnd"/>
      <w:r>
        <w:t xml:space="preserve"> destroy personal data when it is no longer</w:t>
      </w:r>
      <w:r>
        <w:rPr>
          <w:spacing w:val="-4"/>
        </w:rPr>
        <w:t xml:space="preserve"> </w:t>
      </w:r>
      <w:r>
        <w:t>needed.</w:t>
      </w:r>
    </w:p>
    <w:p w:rsidR="006D2F0F" w:rsidRDefault="006D2F0F">
      <w:pPr>
        <w:pStyle w:val="BodyText"/>
        <w:spacing w:before="10"/>
        <w:rPr>
          <w:sz w:val="24"/>
        </w:rPr>
      </w:pPr>
    </w:p>
    <w:p w:rsidR="006D2F0F" w:rsidRDefault="00D07DD6">
      <w:pPr>
        <w:pStyle w:val="BodyText"/>
        <w:spacing w:line="256" w:lineRule="auto"/>
        <w:ind w:left="840" w:right="115"/>
        <w:jc w:val="both"/>
      </w:pPr>
      <w:r>
        <w:t>The School should consult the Retention &amp; Disposal Schedule made available by the Department</w:t>
      </w:r>
      <w:r>
        <w:rPr>
          <w:spacing w:val="-2"/>
        </w:rPr>
        <w:t xml:space="preserve"> </w:t>
      </w:r>
      <w:r>
        <w:t>for</w:t>
      </w:r>
      <w:r>
        <w:rPr>
          <w:spacing w:val="-3"/>
        </w:rPr>
        <w:t xml:space="preserve"> </w:t>
      </w:r>
      <w:r>
        <w:t>Education</w:t>
      </w:r>
      <w:r>
        <w:rPr>
          <w:spacing w:val="-5"/>
        </w:rPr>
        <w:t xml:space="preserve"> </w:t>
      </w:r>
      <w:r>
        <w:t>in</w:t>
      </w:r>
      <w:r>
        <w:rPr>
          <w:spacing w:val="-3"/>
        </w:rPr>
        <w:t xml:space="preserve"> </w:t>
      </w:r>
      <w:r>
        <w:t>this</w:t>
      </w:r>
      <w:r>
        <w:rPr>
          <w:spacing w:val="-4"/>
        </w:rPr>
        <w:t xml:space="preserve"> </w:t>
      </w:r>
      <w:r>
        <w:t>regard.</w:t>
      </w:r>
      <w:r>
        <w:rPr>
          <w:spacing w:val="-4"/>
        </w:rPr>
        <w:t xml:space="preserve"> </w:t>
      </w:r>
      <w:r>
        <w:t>This</w:t>
      </w:r>
      <w:r>
        <w:rPr>
          <w:spacing w:val="-4"/>
        </w:rPr>
        <w:t xml:space="preserve"> </w:t>
      </w:r>
      <w:r>
        <w:t>will</w:t>
      </w:r>
      <w:r>
        <w:rPr>
          <w:spacing w:val="-5"/>
        </w:rPr>
        <w:t xml:space="preserve"> </w:t>
      </w:r>
      <w:r>
        <w:t>be</w:t>
      </w:r>
      <w:r>
        <w:rPr>
          <w:spacing w:val="-4"/>
        </w:rPr>
        <w:t xml:space="preserve"> </w:t>
      </w:r>
      <w:r>
        <w:t>particularly</w:t>
      </w:r>
      <w:r>
        <w:rPr>
          <w:spacing w:val="-4"/>
        </w:rPr>
        <w:t xml:space="preserve"> </w:t>
      </w:r>
      <w:r>
        <w:t>useful</w:t>
      </w:r>
      <w:r>
        <w:rPr>
          <w:spacing w:val="-5"/>
        </w:rPr>
        <w:t xml:space="preserve"> </w:t>
      </w:r>
      <w:r>
        <w:t>if</w:t>
      </w:r>
      <w:r>
        <w:rPr>
          <w:spacing w:val="-5"/>
        </w:rPr>
        <w:t xml:space="preserve"> </w:t>
      </w:r>
      <w:r>
        <w:t>you</w:t>
      </w:r>
      <w:r>
        <w:rPr>
          <w:spacing w:val="-3"/>
        </w:rPr>
        <w:t xml:space="preserve"> </w:t>
      </w:r>
      <w:r>
        <w:t>are</w:t>
      </w:r>
      <w:r>
        <w:rPr>
          <w:spacing w:val="-4"/>
        </w:rPr>
        <w:t xml:space="preserve"> </w:t>
      </w:r>
      <w:r>
        <w:t>transferring files to a Secondary School for a Primary School</w:t>
      </w:r>
      <w:r>
        <w:rPr>
          <w:spacing w:val="-8"/>
        </w:rPr>
        <w:t xml:space="preserve"> </w:t>
      </w:r>
      <w:r>
        <w:t>leaver.</w:t>
      </w:r>
    </w:p>
    <w:p w:rsidR="006D2F0F" w:rsidRDefault="006D2F0F">
      <w:pPr>
        <w:pStyle w:val="BodyText"/>
        <w:spacing w:before="7"/>
        <w:rPr>
          <w:sz w:val="23"/>
        </w:rPr>
      </w:pPr>
    </w:p>
    <w:p w:rsidR="006D2F0F" w:rsidRDefault="00D07DD6">
      <w:pPr>
        <w:pStyle w:val="Heading1"/>
        <w:rPr>
          <w:u w:val="none"/>
        </w:rPr>
      </w:pPr>
      <w:r>
        <w:t>Slide 14:</w:t>
      </w:r>
    </w:p>
    <w:p w:rsidR="006D2F0F" w:rsidRDefault="006D2F0F">
      <w:pPr>
        <w:pStyle w:val="BodyText"/>
        <w:rPr>
          <w:b/>
          <w:sz w:val="10"/>
        </w:rPr>
      </w:pPr>
    </w:p>
    <w:p w:rsidR="006D2F0F" w:rsidRDefault="00D07DD6">
      <w:pPr>
        <w:pStyle w:val="BodyText"/>
        <w:spacing w:before="57" w:line="256" w:lineRule="auto"/>
        <w:ind w:left="686" w:right="113" w:hanging="1"/>
        <w:jc w:val="both"/>
      </w:pPr>
      <w:r>
        <w:rPr>
          <w:b/>
          <w:i/>
        </w:rPr>
        <w:t xml:space="preserve">Integrity &amp; Confidentiality </w:t>
      </w:r>
      <w:r>
        <w:t xml:space="preserve">– personal data must be processed in an appropriately secure manner. This means steps must be taken to ensure that personal data is </w:t>
      </w:r>
      <w:r>
        <w:rPr>
          <w:b/>
        </w:rPr>
        <w:t>kept safe and secure</w:t>
      </w:r>
      <w:r>
        <w:t>, and protected against any unauthorised or unlawful processing and against accidental loss, destruction or damage, by the use of appropriate technical or organisational measures. This obligation relates not only to physical security (whether locking filing cabinets or using a fireproof safe) but also to secure IT infrastructure.</w:t>
      </w:r>
    </w:p>
    <w:p w:rsidR="004E078E" w:rsidRPr="00A17FA4" w:rsidRDefault="004E078E" w:rsidP="004E078E">
      <w:pPr>
        <w:pStyle w:val="Heading1"/>
        <w:spacing w:before="200"/>
        <w:ind w:left="0"/>
      </w:pPr>
      <w:r>
        <w:t>Slide 15:</w:t>
      </w:r>
    </w:p>
    <w:p w:rsidR="004E078E" w:rsidRDefault="004E078E" w:rsidP="004E078E">
      <w:pPr>
        <w:spacing w:before="56" w:line="256" w:lineRule="auto"/>
        <w:ind w:left="686" w:right="578"/>
        <w:rPr>
          <w:i/>
        </w:rPr>
      </w:pPr>
      <w:r>
        <w:rPr>
          <w:b/>
          <w:i/>
        </w:rPr>
        <w:t xml:space="preserve">Accountability – </w:t>
      </w:r>
      <w:r>
        <w:rPr>
          <w:i/>
        </w:rPr>
        <w:t>Data controllers must take responsibility for how they process personal information and how they comply with all the other principles.</w:t>
      </w:r>
    </w:p>
    <w:p w:rsidR="004E078E" w:rsidRDefault="004E078E" w:rsidP="004E078E">
      <w:pPr>
        <w:pStyle w:val="BodyText"/>
        <w:spacing w:before="11"/>
        <w:rPr>
          <w:i/>
          <w:sz w:val="27"/>
        </w:rPr>
      </w:pPr>
    </w:p>
    <w:p w:rsidR="004E078E" w:rsidRDefault="004E078E" w:rsidP="004E078E">
      <w:pPr>
        <w:ind w:left="120"/>
        <w:rPr>
          <w:i/>
        </w:rPr>
      </w:pPr>
      <w:r>
        <w:t xml:space="preserve">Now let’s look at the lawful bases to which the first principal </w:t>
      </w:r>
      <w:r>
        <w:rPr>
          <w:i/>
        </w:rPr>
        <w:t>Lawfulness, fairness and transparency</w:t>
      </w:r>
      <w:r>
        <w:rPr>
          <w:i/>
          <w:spacing w:val="-3"/>
        </w:rPr>
        <w:t xml:space="preserve"> </w:t>
      </w:r>
      <w:r>
        <w:rPr>
          <w:i/>
        </w:rPr>
        <w:t>relates.</w:t>
      </w:r>
    </w:p>
    <w:p w:rsidR="004E078E" w:rsidRDefault="004E078E">
      <w:pPr>
        <w:spacing w:before="59"/>
        <w:ind w:left="170"/>
        <w:rPr>
          <w:rFonts w:ascii="Calibri Light"/>
          <w:color w:val="4472C4"/>
          <w:sz w:val="20"/>
        </w:rPr>
      </w:pP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277A0F" w:rsidRDefault="00DC2C57">
      <w:pPr>
        <w:pStyle w:val="BodyText"/>
        <w:rPr>
          <w:i/>
        </w:rPr>
      </w:pPr>
      <w:r>
        <w:rPr>
          <w:noProof/>
          <w:lang w:bidi="ar-SA"/>
        </w:rPr>
        <w:drawing>
          <wp:inline distT="0" distB="0" distL="0" distR="0">
            <wp:extent cx="2942170" cy="1000125"/>
            <wp:effectExtent l="0" t="0" r="0" b="0"/>
            <wp:docPr id="25"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77A0F" w:rsidRDefault="00277A0F" w:rsidP="00277A0F">
      <w:pPr>
        <w:pStyle w:val="Heading1"/>
        <w:spacing w:before="156"/>
        <w:rPr>
          <w:u w:val="none"/>
        </w:rPr>
      </w:pPr>
      <w:r>
        <w:t>Slide 16: Lawful</w:t>
      </w:r>
      <w:r>
        <w:rPr>
          <w:spacing w:val="-8"/>
        </w:rPr>
        <w:t xml:space="preserve"> </w:t>
      </w:r>
      <w:r>
        <w:t>basis</w:t>
      </w:r>
    </w:p>
    <w:p w:rsidR="00277A0F" w:rsidRDefault="00277A0F" w:rsidP="00277A0F">
      <w:pPr>
        <w:pStyle w:val="BodyText"/>
        <w:spacing w:before="10"/>
        <w:rPr>
          <w:b/>
          <w:sz w:val="10"/>
        </w:rPr>
      </w:pPr>
    </w:p>
    <w:p w:rsidR="00277A0F" w:rsidRDefault="00277A0F" w:rsidP="00277A0F">
      <w:pPr>
        <w:pStyle w:val="BodyText"/>
        <w:spacing w:before="56"/>
        <w:ind w:left="120"/>
      </w:pPr>
      <w:r>
        <w:t>As previously mentioned all processing of personal information must have an identified lawful basis.</w:t>
      </w:r>
    </w:p>
    <w:p w:rsidR="00277A0F" w:rsidRDefault="00277A0F" w:rsidP="00277A0F">
      <w:pPr>
        <w:pStyle w:val="BodyText"/>
        <w:spacing w:before="180" w:line="259" w:lineRule="auto"/>
        <w:ind w:left="120" w:right="268"/>
      </w:pPr>
      <w:r>
        <w:t>GDPR specifies 6 lawful bases. The School, as Data Controller must identify which of those 6 legal bases they use for any processing carried out and ensure this is recorded and communicated to the data subject’s whose personal data it processes.</w:t>
      </w:r>
    </w:p>
    <w:p w:rsidR="00277A0F" w:rsidRDefault="00277A0F" w:rsidP="00277A0F">
      <w:pPr>
        <w:pStyle w:val="BodyText"/>
        <w:spacing w:before="160"/>
        <w:ind w:left="120"/>
      </w:pPr>
      <w:r>
        <w:t>Let’s look at these bases more closely.</w:t>
      </w:r>
    </w:p>
    <w:p w:rsidR="006D2F0F" w:rsidRDefault="006D2F0F">
      <w:pPr>
        <w:pStyle w:val="BodyText"/>
        <w:spacing w:before="9"/>
        <w:rPr>
          <w:sz w:val="29"/>
        </w:rPr>
      </w:pPr>
    </w:p>
    <w:p w:rsidR="006D2F0F" w:rsidRDefault="00D07DD6">
      <w:pPr>
        <w:pStyle w:val="Heading1"/>
        <w:rPr>
          <w:u w:val="none"/>
        </w:rPr>
      </w:pPr>
      <w:r>
        <w:t>Slide 17:</w:t>
      </w:r>
    </w:p>
    <w:p w:rsidR="006D2F0F" w:rsidRDefault="00D07DD6">
      <w:pPr>
        <w:pStyle w:val="BodyText"/>
        <w:spacing w:before="186" w:line="259" w:lineRule="auto"/>
        <w:ind w:left="119" w:right="135"/>
      </w:pPr>
      <w:r>
        <w:rPr>
          <w:b/>
          <w:i/>
        </w:rPr>
        <w:t xml:space="preserve">Public Task </w:t>
      </w:r>
      <w:r>
        <w:t>- the processing is necessary for you to perform a task in the public interest or for your official functions. This is the legal basis that will apply to the majority of processing of personal data by schools. A school is a public body and clearly, it is in the public interest that we operate schools and educate children. Thus the public interest basis will cover a school’s use of personal data for all of the everyday common tasks within school, even where the school shared the personal data with a third party e.g. the Education Authority.</w:t>
      </w:r>
    </w:p>
    <w:p w:rsidR="006D2F0F" w:rsidRDefault="006D2F0F">
      <w:pPr>
        <w:pStyle w:val="BodyText"/>
        <w:spacing w:before="11"/>
        <w:rPr>
          <w:sz w:val="27"/>
        </w:rPr>
      </w:pPr>
    </w:p>
    <w:p w:rsidR="006D2F0F" w:rsidRDefault="00D07DD6">
      <w:pPr>
        <w:pStyle w:val="Heading1"/>
        <w:spacing w:before="1"/>
        <w:rPr>
          <w:u w:val="none"/>
        </w:rPr>
      </w:pPr>
      <w:r>
        <w:t>Slide 18:</w:t>
      </w:r>
    </w:p>
    <w:p w:rsidR="006D2F0F" w:rsidRDefault="00D07DD6">
      <w:pPr>
        <w:pStyle w:val="BodyText"/>
        <w:spacing w:before="185" w:line="259" w:lineRule="auto"/>
        <w:ind w:left="119" w:right="369"/>
      </w:pPr>
      <w:r>
        <w:rPr>
          <w:b/>
          <w:i/>
        </w:rPr>
        <w:t xml:space="preserve">Legal Obligation </w:t>
      </w:r>
      <w:r>
        <w:t>–the processing is necessary for you to comply with the law. For example, by law employers (including schools) are required to collect and maintain certain staff information for equality monitoring purposes.</w:t>
      </w:r>
    </w:p>
    <w:p w:rsidR="006D2F0F" w:rsidRDefault="00D07DD6">
      <w:pPr>
        <w:pStyle w:val="Heading1"/>
        <w:spacing w:before="160"/>
        <w:rPr>
          <w:u w:val="none"/>
        </w:rPr>
      </w:pPr>
      <w:r>
        <w:t>Slide 19:</w:t>
      </w:r>
    </w:p>
    <w:p w:rsidR="006D2F0F" w:rsidRDefault="00D07DD6">
      <w:pPr>
        <w:pStyle w:val="BodyText"/>
        <w:spacing w:before="188" w:line="259" w:lineRule="auto"/>
        <w:ind w:left="119" w:right="122"/>
      </w:pPr>
      <w:r>
        <w:rPr>
          <w:b/>
          <w:i/>
        </w:rPr>
        <w:t xml:space="preserve">Vital Interest </w:t>
      </w:r>
      <w:r>
        <w:t>– processing an individual’s personal data is lawful if the processing is necessary to protect the vital interests of a data subject or of another natural person. This may be relied upon, for example where a child has a medical emergency you can pass their medical information to the paramedics.</w:t>
      </w:r>
    </w:p>
    <w:p w:rsidR="006D2F0F" w:rsidRDefault="00D07DD6">
      <w:pPr>
        <w:pStyle w:val="Heading1"/>
        <w:spacing w:before="158"/>
        <w:rPr>
          <w:u w:val="none"/>
        </w:rPr>
      </w:pPr>
      <w:r>
        <w:t>Slide 20:</w:t>
      </w:r>
    </w:p>
    <w:p w:rsidR="006D2F0F" w:rsidRDefault="00D07DD6">
      <w:pPr>
        <w:pStyle w:val="BodyText"/>
        <w:spacing w:before="188" w:line="256" w:lineRule="auto"/>
        <w:ind w:left="119" w:right="359"/>
      </w:pPr>
      <w:r>
        <w:rPr>
          <w:b/>
          <w:i/>
        </w:rPr>
        <w:t xml:space="preserve">Contract </w:t>
      </w:r>
      <w:r>
        <w:t>– processing is necessary for the performance of a contract to which the data subject is a party, or in order to take steps at the request of the data subject prior to entering into a contract.</w:t>
      </w:r>
    </w:p>
    <w:p w:rsidR="006D2F0F" w:rsidRDefault="006D2F0F">
      <w:pPr>
        <w:pStyle w:val="BodyText"/>
      </w:pPr>
    </w:p>
    <w:p w:rsidR="006D2F0F" w:rsidRDefault="00DC2C57" w:rsidP="00046EEF">
      <w:pPr>
        <w:ind w:left="120"/>
      </w:pPr>
      <w:r>
        <w:t>For example an employer will need to process staff salary and bank details in order to pay them their salary, in accordance with their employment contract.</w:t>
      </w:r>
    </w:p>
    <w:p w:rsidR="00046EEF" w:rsidRDefault="00046EEF" w:rsidP="00046EEF">
      <w:pPr>
        <w:pStyle w:val="Heading1"/>
        <w:spacing w:before="160"/>
        <w:ind w:left="0" w:firstLine="120"/>
        <w:rPr>
          <w:u w:val="none"/>
        </w:rPr>
      </w:pPr>
      <w:r>
        <w:t>Slide 21:</w:t>
      </w:r>
    </w:p>
    <w:p w:rsidR="00046EEF" w:rsidRDefault="00046EEF" w:rsidP="00046EEF">
      <w:pPr>
        <w:pStyle w:val="BodyText"/>
        <w:spacing w:before="7"/>
        <w:rPr>
          <w:b/>
          <w:sz w:val="10"/>
        </w:rPr>
      </w:pPr>
    </w:p>
    <w:p w:rsidR="00046EEF" w:rsidRDefault="00046EEF" w:rsidP="00046EEF">
      <w:pPr>
        <w:pStyle w:val="BodyText"/>
        <w:spacing w:before="56" w:line="259" w:lineRule="auto"/>
        <w:ind w:left="120" w:right="292"/>
        <w:jc w:val="both"/>
      </w:pPr>
      <w:r>
        <w:rPr>
          <w:b/>
          <w:i/>
        </w:rPr>
        <w:t xml:space="preserve">Consent </w:t>
      </w:r>
      <w:r>
        <w:t>– the data subject has given their consent to the processing of his personal data for one or more specified purposes. Be aware, there are stringent requirements regarding the use of consent under the GDPR and these must be considered carefully before relying on this lawful basis, we deal with these later in this training.</w:t>
      </w:r>
    </w:p>
    <w:p w:rsidR="00046EEF" w:rsidRDefault="00046EEF" w:rsidP="00046EEF">
      <w:pPr>
        <w:pStyle w:val="BodyText"/>
        <w:spacing w:before="11"/>
        <w:rPr>
          <w:sz w:val="20"/>
        </w:rPr>
      </w:pPr>
    </w:p>
    <w:p w:rsidR="00277A0F" w:rsidRDefault="00277A0F" w:rsidP="00046EEF">
      <w:pPr>
        <w:spacing w:before="192" w:line="480" w:lineRule="auto"/>
        <w:ind w:firstLine="120"/>
        <w:rPr>
          <w:rFonts w:ascii="Calibri Light"/>
          <w:color w:val="4472C4"/>
          <w:sz w:val="20"/>
        </w:rPr>
      </w:pP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6D2F0F" w:rsidRDefault="00DC2C57">
      <w:pPr>
        <w:pStyle w:val="BodyText"/>
        <w:rPr>
          <w:rFonts w:ascii="Verdana"/>
          <w:sz w:val="28"/>
        </w:rPr>
      </w:pPr>
      <w:r>
        <w:rPr>
          <w:noProof/>
          <w:lang w:bidi="ar-SA"/>
        </w:rPr>
        <w:drawing>
          <wp:inline distT="0" distB="0" distL="0" distR="0">
            <wp:extent cx="2942170" cy="1000125"/>
            <wp:effectExtent l="0" t="0" r="0" b="0"/>
            <wp:docPr id="26"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77A0F" w:rsidRDefault="00277A0F" w:rsidP="00277A0F">
      <w:pPr>
        <w:pStyle w:val="Heading1"/>
        <w:jc w:val="both"/>
        <w:rPr>
          <w:u w:val="none"/>
        </w:rPr>
      </w:pPr>
      <w:r>
        <w:t>Slide 22:</w:t>
      </w:r>
    </w:p>
    <w:p w:rsidR="00277A0F" w:rsidRDefault="00277A0F" w:rsidP="00277A0F">
      <w:pPr>
        <w:pStyle w:val="BodyText"/>
        <w:spacing w:before="7"/>
        <w:rPr>
          <w:b/>
          <w:sz w:val="10"/>
        </w:rPr>
      </w:pPr>
    </w:p>
    <w:p w:rsidR="00277A0F" w:rsidRDefault="00277A0F" w:rsidP="00277A0F">
      <w:pPr>
        <w:pStyle w:val="BodyText"/>
        <w:spacing w:before="56" w:line="259" w:lineRule="auto"/>
        <w:ind w:left="119" w:right="169"/>
      </w:pPr>
      <w:r>
        <w:rPr>
          <w:b/>
          <w:i/>
        </w:rPr>
        <w:t xml:space="preserve">Legitimate Interests of the Data Controller </w:t>
      </w:r>
      <w:r>
        <w:t>– the ICO guidance notes that legitimate interests is different to the other lawful bases as it is not centred around a particular purpose (e.g. performing a contract with the individual, complying with a legal obligation, protecting vital interests or carrying out a public task), and it is not processing that the individual has specifically agreed to (consent).</w:t>
      </w:r>
    </w:p>
    <w:p w:rsidR="00277A0F" w:rsidRDefault="00277A0F" w:rsidP="00277A0F">
      <w:pPr>
        <w:pStyle w:val="BodyText"/>
        <w:spacing w:line="259" w:lineRule="auto"/>
        <w:ind w:left="120" w:right="220"/>
      </w:pPr>
    </w:p>
    <w:p w:rsidR="00277A0F" w:rsidRPr="00277A0F" w:rsidRDefault="00277A0F" w:rsidP="00277A0F">
      <w:pPr>
        <w:pStyle w:val="BodyText"/>
        <w:spacing w:line="259" w:lineRule="auto"/>
        <w:ind w:left="120" w:right="220"/>
        <w:rPr>
          <w:rFonts w:ascii="Verdana" w:hAnsi="Verdana"/>
          <w:sz w:val="23"/>
        </w:rPr>
      </w:pPr>
      <w:r>
        <w:t>Further, because it could apply in a wide range of circumstances, where it is relied upon, the onus is on the Data Controller to balance their legitimate interests and the necessity of processing the personal data against the interests, rights and freedoms of the individual whose personal data they are processing, and ensure that the data subject’s rights are not overridden. This is different to the other lawful bases, which presume that the Data Controller’s interests and those of the individual are balanced</w:t>
      </w:r>
      <w:r>
        <w:rPr>
          <w:rFonts w:ascii="Verdana" w:hAnsi="Verdana"/>
          <w:sz w:val="23"/>
        </w:rPr>
        <w:t>.</w:t>
      </w:r>
    </w:p>
    <w:p w:rsidR="006D2F0F" w:rsidRDefault="00D07DD6">
      <w:pPr>
        <w:pStyle w:val="Heading1"/>
        <w:spacing w:before="189"/>
        <w:rPr>
          <w:u w:val="none"/>
        </w:rPr>
      </w:pPr>
      <w:r>
        <w:t>Slide 23: new standard for consent</w:t>
      </w:r>
    </w:p>
    <w:p w:rsidR="006D2F0F" w:rsidRDefault="006D2F0F">
      <w:pPr>
        <w:pStyle w:val="BodyText"/>
        <w:spacing w:before="7"/>
        <w:rPr>
          <w:b/>
          <w:sz w:val="10"/>
        </w:rPr>
      </w:pPr>
    </w:p>
    <w:p w:rsidR="006D2F0F" w:rsidRDefault="00D07DD6">
      <w:pPr>
        <w:pStyle w:val="BodyText"/>
        <w:spacing w:before="56" w:line="259" w:lineRule="auto"/>
        <w:ind w:left="120" w:right="515"/>
      </w:pPr>
      <w:r>
        <w:t>GDPR is more prescriptive than the DPA 1998 about the requirements for obtaining consent, the standard is much higher.</w:t>
      </w:r>
    </w:p>
    <w:p w:rsidR="006D2F0F" w:rsidRDefault="00D07DD6">
      <w:pPr>
        <w:spacing w:before="160" w:line="259" w:lineRule="auto"/>
        <w:ind w:left="120" w:right="775"/>
        <w:rPr>
          <w:i/>
        </w:rPr>
      </w:pPr>
      <w:r>
        <w:t xml:space="preserve">The definition of </w:t>
      </w:r>
      <w:r>
        <w:rPr>
          <w:b/>
          <w:i/>
        </w:rPr>
        <w:t xml:space="preserve">Consent </w:t>
      </w:r>
      <w:r>
        <w:t xml:space="preserve">in the GDPR is, </w:t>
      </w:r>
      <w:r>
        <w:rPr>
          <w:i/>
        </w:rPr>
        <w:t>any freely given, specific informed and unambiguous indication of the data subject’s wishes.</w:t>
      </w:r>
    </w:p>
    <w:p w:rsidR="006D2F0F" w:rsidRDefault="00D07DD6">
      <w:pPr>
        <w:pStyle w:val="BodyText"/>
        <w:spacing w:before="159" w:line="259" w:lineRule="auto"/>
        <w:ind w:left="120" w:right="566"/>
      </w:pPr>
      <w:r>
        <w:t>Consent must be given via a clear affirmative act; silence, pre-ticked boxes and inactivity cannot establish consent. Further, withdrawal of consent must be as easy as giving it.</w:t>
      </w:r>
    </w:p>
    <w:p w:rsidR="006D2F0F" w:rsidRDefault="00D07DD6">
      <w:pPr>
        <w:pStyle w:val="BodyText"/>
        <w:spacing w:before="159" w:line="259" w:lineRule="auto"/>
        <w:ind w:left="120" w:right="389"/>
      </w:pPr>
      <w:r>
        <w:t>Consent is only the appropriate lawful basis of processing if the Data Controller can offer the Data Subject real choice and control over how it uses their data; if a Data Controller cannot offer a genuine choice, consent is not the appropriate lawful basis.</w:t>
      </w:r>
    </w:p>
    <w:p w:rsidR="006D2F0F" w:rsidRDefault="00D07DD6">
      <w:pPr>
        <w:pStyle w:val="BodyText"/>
        <w:spacing w:before="159" w:line="259" w:lineRule="auto"/>
        <w:ind w:left="120" w:right="132"/>
      </w:pPr>
      <w:r>
        <w:t>The ICO warns that public authorities, employers and other organisations in a position of power over individuals should avoid relying on consent unless they are confident they can demonstrate it is freely given.</w:t>
      </w:r>
    </w:p>
    <w:p w:rsidR="006D2F0F" w:rsidRPr="00046EEF" w:rsidRDefault="00D07DD6" w:rsidP="00046EEF">
      <w:pPr>
        <w:pStyle w:val="BodyText"/>
        <w:spacing w:before="160" w:line="259" w:lineRule="auto"/>
        <w:ind w:left="120" w:right="797"/>
      </w:pPr>
      <w:r>
        <w:t>Data Controllers who do rely on consent for processing must maintain appropriate records to evidence that the data subject have given consent to the processing operation.</w:t>
      </w:r>
    </w:p>
    <w:p w:rsidR="00046EEF" w:rsidRDefault="00046EEF" w:rsidP="00046EEF">
      <w:pPr>
        <w:pStyle w:val="Heading1"/>
        <w:spacing w:before="200"/>
        <w:rPr>
          <w:u w:val="none"/>
        </w:rPr>
      </w:pPr>
      <w:r>
        <w:t>Slide 24 – Consent and Children</w:t>
      </w:r>
    </w:p>
    <w:p w:rsidR="00046EEF" w:rsidRDefault="00046EEF" w:rsidP="00046EEF">
      <w:pPr>
        <w:pStyle w:val="BodyText"/>
        <w:spacing w:before="8"/>
        <w:rPr>
          <w:b/>
          <w:sz w:val="10"/>
        </w:rPr>
      </w:pPr>
    </w:p>
    <w:p w:rsidR="00046EEF" w:rsidRDefault="00046EEF" w:rsidP="00046EEF">
      <w:pPr>
        <w:pStyle w:val="BodyText"/>
        <w:spacing w:before="56" w:line="259" w:lineRule="auto"/>
        <w:ind w:left="120" w:right="253"/>
      </w:pPr>
      <w:r>
        <w:t>Schools should not often need to rely on consent as a legal basis however where it is identified that consent is the most appropriate legal basis for a school to rely upon, and the data subjects are children, then it is important to note that:</w:t>
      </w:r>
    </w:p>
    <w:p w:rsidR="00046EEF" w:rsidRDefault="00046EEF" w:rsidP="00046EEF">
      <w:pPr>
        <w:pStyle w:val="ListParagraph"/>
        <w:numPr>
          <w:ilvl w:val="0"/>
          <w:numId w:val="1"/>
        </w:numPr>
        <w:tabs>
          <w:tab w:val="left" w:pos="839"/>
          <w:tab w:val="left" w:pos="841"/>
        </w:tabs>
        <w:spacing w:before="160"/>
        <w:ind w:right="1070" w:hanging="361"/>
        <w:rPr>
          <w:rFonts w:ascii="Symbol" w:hAnsi="Symbol"/>
        </w:rPr>
      </w:pPr>
      <w:r>
        <w:t>for children under the age of 13, consent must come from whomever has parental responsibility for the</w:t>
      </w:r>
      <w:r>
        <w:rPr>
          <w:spacing w:val="-2"/>
        </w:rPr>
        <w:t xml:space="preserve"> </w:t>
      </w:r>
      <w:r>
        <w:t>child;</w:t>
      </w:r>
    </w:p>
    <w:p w:rsidR="00046EEF" w:rsidRDefault="00046EEF" w:rsidP="00046EEF">
      <w:pPr>
        <w:pStyle w:val="ListParagraph"/>
        <w:numPr>
          <w:ilvl w:val="0"/>
          <w:numId w:val="1"/>
        </w:numPr>
        <w:tabs>
          <w:tab w:val="left" w:pos="839"/>
          <w:tab w:val="left" w:pos="841"/>
        </w:tabs>
        <w:ind w:hanging="361"/>
        <w:rPr>
          <w:rFonts w:ascii="Symbol" w:hAnsi="Symbol"/>
        </w:rPr>
      </w:pPr>
      <w:proofErr w:type="gramStart"/>
      <w:r>
        <w:t>for</w:t>
      </w:r>
      <w:proofErr w:type="gramEnd"/>
      <w:r>
        <w:t xml:space="preserve"> a child aged 13 and over who are able, consent must be from the</w:t>
      </w:r>
      <w:r>
        <w:rPr>
          <w:spacing w:val="-13"/>
        </w:rPr>
        <w:t xml:space="preserve"> </w:t>
      </w:r>
      <w:r>
        <w:t>child.</w:t>
      </w:r>
    </w:p>
    <w:p w:rsidR="00046EEF" w:rsidRDefault="00046EEF" w:rsidP="00046EEF">
      <w:pPr>
        <w:pStyle w:val="BodyText"/>
        <w:spacing w:before="121" w:line="259" w:lineRule="auto"/>
        <w:ind w:left="120" w:right="213"/>
      </w:pPr>
      <w:r>
        <w:t>Therefore Schools using consent for the processing of any of their pupil’s personal data must have a process in place to identify when a pupil reaches 13 and to then obtain the pupil’s own consent for any such processing as they carry out and which is based on consent.</w:t>
      </w:r>
    </w:p>
    <w:p w:rsidR="006D2F0F" w:rsidRPr="00046EEF" w:rsidRDefault="00046EEF" w:rsidP="00046EEF">
      <w:pPr>
        <w:pStyle w:val="BodyText"/>
        <w:spacing w:before="159"/>
        <w:ind w:left="120"/>
      </w:pPr>
      <w:r>
        <w:t xml:space="preserve">Further detailed guidance on consent can be found on the Education Authority’s </w:t>
      </w:r>
      <w:r>
        <w:rPr>
          <w:b/>
        </w:rPr>
        <w:t>Think Data Hub</w:t>
      </w:r>
      <w:r>
        <w:t>.</w:t>
      </w:r>
    </w:p>
    <w:p w:rsidR="00277A0F" w:rsidRDefault="00277A0F" w:rsidP="00046EEF">
      <w:pPr>
        <w:spacing w:before="59"/>
        <w:ind w:firstLine="119"/>
        <w:rPr>
          <w:rFonts w:ascii="Calibri Light"/>
          <w:color w:val="4472C4"/>
          <w:sz w:val="20"/>
        </w:rPr>
      </w:pP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277A0F" w:rsidRDefault="00DC2C57" w:rsidP="005C0654">
      <w:pPr>
        <w:pStyle w:val="BodyText"/>
        <w:rPr>
          <w:b/>
          <w:color w:val="231F20"/>
          <w:sz w:val="28"/>
          <w:u w:val="single" w:color="231F20"/>
        </w:rPr>
      </w:pPr>
      <w:r>
        <w:rPr>
          <w:noProof/>
          <w:lang w:bidi="ar-SA"/>
        </w:rPr>
        <w:drawing>
          <wp:inline distT="0" distB="0" distL="0" distR="0">
            <wp:extent cx="2942170" cy="1000125"/>
            <wp:effectExtent l="0" t="0" r="0" b="0"/>
            <wp:docPr id="27"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77A0F" w:rsidRDefault="00277A0F" w:rsidP="00277A0F">
      <w:pPr>
        <w:pStyle w:val="Heading1"/>
        <w:spacing w:before="165"/>
        <w:rPr>
          <w:u w:val="none"/>
        </w:rPr>
      </w:pPr>
      <w:r>
        <w:t>Slide 25: Rights of Data Subjects</w:t>
      </w:r>
    </w:p>
    <w:p w:rsidR="00277A0F" w:rsidRDefault="00277A0F" w:rsidP="00277A0F">
      <w:pPr>
        <w:pStyle w:val="BodyText"/>
        <w:spacing w:before="8"/>
        <w:rPr>
          <w:b/>
          <w:sz w:val="10"/>
        </w:rPr>
      </w:pPr>
    </w:p>
    <w:p w:rsidR="00277A0F" w:rsidRDefault="00277A0F" w:rsidP="00277A0F">
      <w:pPr>
        <w:pStyle w:val="BodyText"/>
        <w:spacing w:before="56" w:line="259" w:lineRule="auto"/>
        <w:ind w:left="119" w:right="552"/>
      </w:pPr>
      <w:r>
        <w:t>In order to adhere to the GDPR schools MUST ensure that they are familiar with and respect the rights of the individual data subject as are enshrined in GDPR.</w:t>
      </w:r>
    </w:p>
    <w:p w:rsidR="00277A0F" w:rsidRDefault="00277A0F" w:rsidP="00277A0F">
      <w:pPr>
        <w:pStyle w:val="BodyText"/>
        <w:spacing w:before="159"/>
        <w:ind w:left="119"/>
      </w:pPr>
      <w:r>
        <w:t>There are 8 such rights, each of which (with the exception of the right to be informed), MUST be</w:t>
      </w:r>
    </w:p>
    <w:p w:rsidR="00277A0F" w:rsidRDefault="00277A0F" w:rsidP="00277A0F">
      <w:pPr>
        <w:pStyle w:val="Heading2"/>
        <w:spacing w:before="22"/>
        <w:ind w:left="119"/>
        <w:rPr>
          <w:b w:val="0"/>
          <w:u w:val="none"/>
        </w:rPr>
      </w:pPr>
      <w:proofErr w:type="gramStart"/>
      <w:r>
        <w:rPr>
          <w:u w:val="none"/>
        </w:rPr>
        <w:t>responded</w:t>
      </w:r>
      <w:proofErr w:type="gramEnd"/>
      <w:r>
        <w:rPr>
          <w:u w:val="none"/>
        </w:rPr>
        <w:t xml:space="preserve"> to within 1 month</w:t>
      </w:r>
      <w:r>
        <w:rPr>
          <w:b w:val="0"/>
          <w:u w:val="none"/>
        </w:rPr>
        <w:t>.</w:t>
      </w:r>
    </w:p>
    <w:p w:rsidR="00277A0F" w:rsidRDefault="00277A0F" w:rsidP="00277A0F">
      <w:pPr>
        <w:pStyle w:val="BodyText"/>
        <w:spacing w:before="182"/>
        <w:ind w:left="119"/>
      </w:pPr>
      <w:r>
        <w:t>Any request by an individual seeking to engage any of these 8 rights, MUST be brought to the</w:t>
      </w:r>
    </w:p>
    <w:p w:rsidR="00277A0F" w:rsidRDefault="00277A0F" w:rsidP="00277A0F">
      <w:pPr>
        <w:pStyle w:val="Heading2"/>
        <w:spacing w:before="20"/>
        <w:ind w:left="119"/>
        <w:rPr>
          <w:b w:val="0"/>
          <w:u w:val="none"/>
        </w:rPr>
      </w:pPr>
      <w:proofErr w:type="gramStart"/>
      <w:r>
        <w:rPr>
          <w:u w:val="none"/>
        </w:rPr>
        <w:t>immediate</w:t>
      </w:r>
      <w:proofErr w:type="gramEnd"/>
      <w:r>
        <w:rPr>
          <w:u w:val="none"/>
        </w:rPr>
        <w:t xml:space="preserve"> attention of the Principal of the school</w:t>
      </w:r>
      <w:r>
        <w:rPr>
          <w:b w:val="0"/>
          <w:u w:val="none"/>
        </w:rPr>
        <w:t>.</w:t>
      </w:r>
    </w:p>
    <w:p w:rsidR="00277A0F" w:rsidRPr="00277A0F" w:rsidRDefault="00277A0F" w:rsidP="00277A0F">
      <w:pPr>
        <w:pStyle w:val="BodyText"/>
        <w:spacing w:before="183"/>
        <w:ind w:left="119" w:right="220"/>
      </w:pPr>
      <w:r>
        <w:t xml:space="preserve">Staff should further be aware that there is no particular requirement in respect of the manner in which an individual communicates their intention to engage any of the 8 rights, this can be done, in writing, orally (in person or via phone) it does not have to be to a specific person or contact point, it </w:t>
      </w:r>
      <w:r>
        <w:rPr>
          <w:color w:val="231F20"/>
        </w:rPr>
        <w:t>may even be communicated via the School’s social media pages including Facebook, Twitter, etc.</w:t>
      </w:r>
    </w:p>
    <w:p w:rsidR="006D2F0F" w:rsidRDefault="00D07DD6">
      <w:pPr>
        <w:spacing w:before="182"/>
        <w:ind w:left="120"/>
        <w:rPr>
          <w:b/>
          <w:sz w:val="28"/>
        </w:rPr>
      </w:pPr>
      <w:r>
        <w:rPr>
          <w:b/>
          <w:color w:val="231F20"/>
          <w:sz w:val="28"/>
          <w:u w:val="single" w:color="231F20"/>
        </w:rPr>
        <w:t>Slide 26:</w:t>
      </w:r>
    </w:p>
    <w:p w:rsidR="006D2F0F" w:rsidRDefault="006D2F0F">
      <w:pPr>
        <w:pStyle w:val="BodyText"/>
        <w:spacing w:before="3"/>
        <w:rPr>
          <w:b/>
          <w:sz w:val="17"/>
        </w:rPr>
      </w:pPr>
    </w:p>
    <w:p w:rsidR="006D2F0F" w:rsidRDefault="00D07DD6">
      <w:pPr>
        <w:pStyle w:val="Heading2"/>
        <w:rPr>
          <w:u w:val="none"/>
        </w:rPr>
      </w:pPr>
      <w:r>
        <w:rPr>
          <w:color w:val="231F20"/>
          <w:u w:color="231F20"/>
        </w:rPr>
        <w:t>The right to be informed:</w:t>
      </w:r>
    </w:p>
    <w:p w:rsidR="006D2F0F" w:rsidRDefault="00D07DD6">
      <w:pPr>
        <w:pStyle w:val="BodyText"/>
        <w:spacing w:before="1"/>
        <w:ind w:left="120" w:right="194"/>
      </w:pPr>
      <w:r>
        <w:t xml:space="preserve">Individuals have the right to be informed about the collection and use of their personal data. This is a key transparency requirement under the GDPR. </w:t>
      </w:r>
      <w:r>
        <w:rPr>
          <w:color w:val="231F20"/>
        </w:rPr>
        <w:t>Schools must inform, the data subjects’ whose personal data that they process, of how their personal data is processed, including the nature of the personal data, why it is being processed and who might have access to it.</w:t>
      </w:r>
    </w:p>
    <w:p w:rsidR="006D2F0F" w:rsidRDefault="006D2F0F">
      <w:pPr>
        <w:pStyle w:val="BodyText"/>
        <w:spacing w:before="10"/>
        <w:rPr>
          <w:sz w:val="21"/>
        </w:rPr>
      </w:pPr>
    </w:p>
    <w:p w:rsidR="006D2F0F" w:rsidRDefault="00D07DD6" w:rsidP="00A17FA4">
      <w:pPr>
        <w:pStyle w:val="BodyText"/>
        <w:spacing w:before="1"/>
        <w:ind w:left="120" w:right="246"/>
      </w:pPr>
      <w:r>
        <w:rPr>
          <w:color w:val="231F20"/>
        </w:rPr>
        <w:t>This information must be provided to the data subject at the time that the relevant personal data is collected from them. If the personal data is obtained from another source then the school must provide those individuals with this same information within 1 month of receiving the information.</w:t>
      </w:r>
      <w:r w:rsidR="00A17FA4">
        <w:t xml:space="preserve"> </w:t>
      </w:r>
      <w:r>
        <w:rPr>
          <w:color w:val="231F20"/>
        </w:rPr>
        <w:t>Typically this information will be provided through the School’s privacy notices. Templates for which are provided on the EA’s Think Data Hub.</w:t>
      </w:r>
    </w:p>
    <w:p w:rsidR="00A17FA4" w:rsidRPr="00A17FA4" w:rsidRDefault="00A17FA4" w:rsidP="00A17FA4">
      <w:pPr>
        <w:spacing w:before="200" w:line="341" w:lineRule="exact"/>
        <w:ind w:firstLine="120"/>
        <w:rPr>
          <w:color w:val="231F20"/>
        </w:rPr>
      </w:pPr>
      <w:r>
        <w:rPr>
          <w:b/>
          <w:color w:val="231F20"/>
          <w:sz w:val="28"/>
          <w:u w:val="single" w:color="231F20"/>
        </w:rPr>
        <w:t>Slide 27</w:t>
      </w:r>
      <w:r>
        <w:rPr>
          <w:color w:val="231F20"/>
        </w:rPr>
        <w:t>:</w:t>
      </w:r>
    </w:p>
    <w:p w:rsidR="006D2F0F" w:rsidRDefault="006D2F0F">
      <w:pPr>
        <w:pStyle w:val="BodyText"/>
        <w:rPr>
          <w:sz w:val="20"/>
        </w:rPr>
      </w:pPr>
    </w:p>
    <w:p w:rsidR="00A17FA4" w:rsidRDefault="00A17FA4" w:rsidP="00A17FA4">
      <w:pPr>
        <w:pStyle w:val="Heading2"/>
        <w:spacing w:before="0" w:line="268" w:lineRule="exact"/>
        <w:rPr>
          <w:u w:val="none"/>
        </w:rPr>
      </w:pPr>
      <w:r>
        <w:rPr>
          <w:color w:val="231F20"/>
          <w:u w:color="231F20"/>
        </w:rPr>
        <w:t>The right of access</w:t>
      </w:r>
    </w:p>
    <w:p w:rsidR="00A17FA4" w:rsidRDefault="00A17FA4" w:rsidP="00A17FA4">
      <w:pPr>
        <w:pStyle w:val="BodyText"/>
        <w:spacing w:before="1"/>
        <w:ind w:left="120" w:right="130"/>
      </w:pPr>
      <w:r>
        <w:rPr>
          <w:color w:val="231F20"/>
        </w:rPr>
        <w:t>This provides individuals with the right to obtain confirmation as to whether their personal data is being processed and if so, with access to their personal data and other information. The purpose of this right is to allow individuals to be aware of and verify the lawfulness of processing. This particular right is discussed in detail later in this training.</w:t>
      </w:r>
    </w:p>
    <w:p w:rsidR="00DC2C57" w:rsidRDefault="00DC2C57">
      <w:pPr>
        <w:spacing w:before="59"/>
        <w:ind w:left="170"/>
        <w:rPr>
          <w:rFonts w:ascii="Calibri Light"/>
          <w:color w:val="4472C4"/>
          <w:sz w:val="20"/>
        </w:rPr>
      </w:pPr>
    </w:p>
    <w:p w:rsidR="00046EEF" w:rsidRDefault="00046EEF" w:rsidP="00046EEF">
      <w:pPr>
        <w:ind w:left="120"/>
        <w:rPr>
          <w:b/>
          <w:sz w:val="28"/>
        </w:rPr>
      </w:pPr>
      <w:r>
        <w:rPr>
          <w:b/>
          <w:color w:val="231F20"/>
          <w:sz w:val="28"/>
          <w:u w:val="single" w:color="231F20"/>
        </w:rPr>
        <w:t>Slide 28:</w:t>
      </w:r>
    </w:p>
    <w:p w:rsidR="00046EEF" w:rsidRDefault="00046EEF" w:rsidP="00046EEF">
      <w:pPr>
        <w:pStyle w:val="BodyText"/>
        <w:spacing w:before="4"/>
        <w:rPr>
          <w:b/>
          <w:sz w:val="17"/>
        </w:rPr>
      </w:pPr>
    </w:p>
    <w:p w:rsidR="00046EEF" w:rsidRDefault="00046EEF" w:rsidP="00046EEF">
      <w:pPr>
        <w:pStyle w:val="Heading2"/>
        <w:rPr>
          <w:u w:val="none"/>
        </w:rPr>
      </w:pPr>
      <w:r>
        <w:rPr>
          <w:color w:val="231F20"/>
          <w:u w:color="231F20"/>
        </w:rPr>
        <w:t>The right to rectification:</w:t>
      </w:r>
    </w:p>
    <w:p w:rsidR="00046EEF" w:rsidRDefault="00046EEF" w:rsidP="00046EEF">
      <w:pPr>
        <w:pStyle w:val="BodyText"/>
        <w:ind w:left="116" w:right="170" w:firstLine="3"/>
      </w:pPr>
      <w:r>
        <w:rPr>
          <w:color w:val="231F20"/>
        </w:rPr>
        <w:t>A Data Subject has the right to have inaccurate personal data rectified. If an individual informs the School that personal data held by the School is inaccurate or incomplete, the individual can request that it is rectified. The School might wish to take reasonable steps to verify that the new information is correct before making any changes to the personal data it holds. In so doing the school should take into account the arguments and evidence provided by the data</w:t>
      </w:r>
      <w:r>
        <w:rPr>
          <w:color w:val="231F20"/>
          <w:spacing w:val="-11"/>
        </w:rPr>
        <w:t xml:space="preserve"> </w:t>
      </w:r>
      <w:r>
        <w:rPr>
          <w:color w:val="231F20"/>
        </w:rPr>
        <w:t>subject.</w:t>
      </w:r>
    </w:p>
    <w:p w:rsidR="00046EEF" w:rsidRDefault="00046EEF" w:rsidP="00046EEF">
      <w:pPr>
        <w:pStyle w:val="BodyText"/>
        <w:spacing w:before="121"/>
        <w:ind w:left="115" w:right="885"/>
      </w:pPr>
      <w:r>
        <w:rPr>
          <w:color w:val="231F20"/>
        </w:rPr>
        <w:t>If you have any queries about such a request you should contact the Authority’s Information Governance Unit.</w:t>
      </w:r>
    </w:p>
    <w:p w:rsidR="00046EEF" w:rsidRPr="00A17FA4" w:rsidRDefault="00046EEF" w:rsidP="00046EEF">
      <w:pPr>
        <w:pStyle w:val="BodyText"/>
        <w:spacing w:before="121"/>
        <w:ind w:left="115" w:right="885"/>
      </w:pPr>
    </w:p>
    <w:p w:rsidR="00DC2C57" w:rsidRDefault="00DC2C57">
      <w:pPr>
        <w:spacing w:before="59"/>
        <w:ind w:left="170"/>
        <w:rPr>
          <w:rFonts w:ascii="Calibri Light"/>
          <w:color w:val="4472C4"/>
          <w:sz w:val="20"/>
        </w:rPr>
      </w:pP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6D2F0F" w:rsidRDefault="00DC2C57">
      <w:pPr>
        <w:pStyle w:val="BodyText"/>
        <w:rPr>
          <w:sz w:val="28"/>
        </w:rPr>
      </w:pPr>
      <w:r>
        <w:rPr>
          <w:noProof/>
          <w:lang w:bidi="ar-SA"/>
        </w:rPr>
        <w:drawing>
          <wp:inline distT="0" distB="0" distL="0" distR="0">
            <wp:extent cx="2942170" cy="1000125"/>
            <wp:effectExtent l="0" t="0" r="0" b="0"/>
            <wp:docPr id="28"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77A0F" w:rsidRPr="00277A0F" w:rsidRDefault="00277A0F" w:rsidP="00277A0F">
      <w:pPr>
        <w:ind w:left="120"/>
        <w:rPr>
          <w:b/>
          <w:sz w:val="28"/>
        </w:rPr>
      </w:pPr>
      <w:r>
        <w:rPr>
          <w:b/>
          <w:color w:val="231F20"/>
          <w:sz w:val="28"/>
          <w:u w:val="single" w:color="231F20"/>
        </w:rPr>
        <w:t>Slide 29:</w:t>
      </w:r>
    </w:p>
    <w:p w:rsidR="00277A0F" w:rsidRDefault="00277A0F" w:rsidP="00277A0F">
      <w:pPr>
        <w:pStyle w:val="Heading2"/>
        <w:spacing w:before="57"/>
        <w:rPr>
          <w:u w:val="none"/>
        </w:rPr>
      </w:pPr>
      <w:r>
        <w:rPr>
          <w:color w:val="231F20"/>
          <w:u w:color="231F20"/>
        </w:rPr>
        <w:t>The right to erasure:</w:t>
      </w:r>
    </w:p>
    <w:p w:rsidR="00277A0F" w:rsidRDefault="00277A0F" w:rsidP="00277A0F">
      <w:pPr>
        <w:pStyle w:val="BodyText"/>
        <w:ind w:left="120" w:right="533"/>
      </w:pPr>
      <w:r>
        <w:rPr>
          <w:color w:val="231F20"/>
        </w:rPr>
        <w:t xml:space="preserve">An individual is entitled to request that a Data Controller erases the personal data it holds about them in certain circumstances. This is </w:t>
      </w:r>
      <w:r>
        <w:t>also known as ‘the right to be forgotten.</w:t>
      </w:r>
    </w:p>
    <w:p w:rsidR="00277A0F" w:rsidRDefault="00277A0F" w:rsidP="00277A0F">
      <w:pPr>
        <w:pStyle w:val="BodyText"/>
        <w:spacing w:before="121"/>
        <w:ind w:left="120"/>
      </w:pPr>
      <w:r>
        <w:rPr>
          <w:color w:val="231F20"/>
        </w:rPr>
        <w:t>The right of erasure is not an absolute right; it only applies in certain defined circumstances:</w:t>
      </w:r>
    </w:p>
    <w:p w:rsidR="00277A0F" w:rsidRDefault="00277A0F" w:rsidP="00277A0F">
      <w:pPr>
        <w:pStyle w:val="ListParagraph"/>
        <w:numPr>
          <w:ilvl w:val="0"/>
          <w:numId w:val="1"/>
        </w:numPr>
        <w:tabs>
          <w:tab w:val="left" w:pos="832"/>
          <w:tab w:val="left" w:pos="833"/>
        </w:tabs>
        <w:spacing w:before="118"/>
        <w:ind w:left="832" w:right="570" w:hanging="355"/>
        <w:rPr>
          <w:rFonts w:ascii="Symbol" w:hAnsi="Symbol"/>
          <w:color w:val="231F20"/>
        </w:rPr>
      </w:pPr>
      <w:r>
        <w:rPr>
          <w:color w:val="231F20"/>
        </w:rPr>
        <w:t>the personal data is no longer necessary in relation to the purposes for which they were collected or otherwise</w:t>
      </w:r>
      <w:r>
        <w:rPr>
          <w:color w:val="231F20"/>
          <w:spacing w:val="-9"/>
        </w:rPr>
        <w:t xml:space="preserve"> </w:t>
      </w:r>
      <w:r>
        <w:rPr>
          <w:color w:val="231F20"/>
        </w:rPr>
        <w:t>processed;</w:t>
      </w:r>
    </w:p>
    <w:p w:rsidR="00277A0F" w:rsidRDefault="00277A0F" w:rsidP="00277A0F">
      <w:pPr>
        <w:pStyle w:val="ListParagraph"/>
        <w:numPr>
          <w:ilvl w:val="0"/>
          <w:numId w:val="1"/>
        </w:numPr>
        <w:tabs>
          <w:tab w:val="left" w:pos="832"/>
          <w:tab w:val="left" w:pos="833"/>
        </w:tabs>
        <w:ind w:left="832" w:right="1073" w:hanging="355"/>
        <w:rPr>
          <w:rFonts w:ascii="Symbol" w:hAnsi="Symbol"/>
          <w:color w:val="231F20"/>
        </w:rPr>
      </w:pPr>
      <w:r>
        <w:rPr>
          <w:color w:val="231F20"/>
        </w:rPr>
        <w:t>the data subject withdraws consent (and there is no justification for the continued processing);</w:t>
      </w:r>
    </w:p>
    <w:p w:rsidR="00277A0F" w:rsidRDefault="00277A0F" w:rsidP="00277A0F">
      <w:pPr>
        <w:pStyle w:val="ListParagraph"/>
        <w:numPr>
          <w:ilvl w:val="0"/>
          <w:numId w:val="1"/>
        </w:numPr>
        <w:tabs>
          <w:tab w:val="left" w:pos="832"/>
          <w:tab w:val="left" w:pos="833"/>
        </w:tabs>
        <w:spacing w:before="3" w:line="237" w:lineRule="auto"/>
        <w:ind w:left="832" w:right="961" w:hanging="355"/>
        <w:rPr>
          <w:rFonts w:ascii="Symbol" w:hAnsi="Symbol"/>
          <w:color w:val="231F20"/>
        </w:rPr>
      </w:pPr>
      <w:r>
        <w:rPr>
          <w:color w:val="231F20"/>
        </w:rPr>
        <w:t>the data subject objects and the Data Controller cannot demonstrate that there are overriding legitimate grounds for</w:t>
      </w:r>
      <w:r>
        <w:rPr>
          <w:color w:val="231F20"/>
          <w:spacing w:val="-3"/>
        </w:rPr>
        <w:t xml:space="preserve"> </w:t>
      </w:r>
      <w:r>
        <w:rPr>
          <w:color w:val="231F20"/>
        </w:rPr>
        <w:t>processing;</w:t>
      </w:r>
    </w:p>
    <w:p w:rsidR="00277A0F" w:rsidRDefault="00277A0F" w:rsidP="00277A0F">
      <w:pPr>
        <w:pStyle w:val="ListParagraph"/>
        <w:numPr>
          <w:ilvl w:val="0"/>
          <w:numId w:val="1"/>
        </w:numPr>
        <w:tabs>
          <w:tab w:val="left" w:pos="832"/>
          <w:tab w:val="left" w:pos="833"/>
        </w:tabs>
        <w:spacing w:before="2"/>
        <w:ind w:left="832" w:hanging="355"/>
        <w:rPr>
          <w:rFonts w:ascii="Symbol" w:hAnsi="Symbol"/>
          <w:color w:val="231F20"/>
        </w:rPr>
      </w:pPr>
      <w:r>
        <w:rPr>
          <w:color w:val="231F20"/>
        </w:rPr>
        <w:t>the data is unlawfully processed (i.e. otherwise in breach of</w:t>
      </w:r>
      <w:r>
        <w:rPr>
          <w:color w:val="231F20"/>
          <w:spacing w:val="-9"/>
        </w:rPr>
        <w:t xml:space="preserve"> </w:t>
      </w:r>
      <w:r>
        <w:rPr>
          <w:color w:val="231F20"/>
        </w:rPr>
        <w:t>GDPR);</w:t>
      </w:r>
    </w:p>
    <w:p w:rsidR="00277A0F" w:rsidRPr="00277A0F" w:rsidRDefault="00277A0F" w:rsidP="00277A0F">
      <w:pPr>
        <w:pStyle w:val="ListParagraph"/>
        <w:numPr>
          <w:ilvl w:val="0"/>
          <w:numId w:val="1"/>
        </w:numPr>
        <w:tabs>
          <w:tab w:val="left" w:pos="832"/>
          <w:tab w:val="left" w:pos="833"/>
        </w:tabs>
        <w:spacing w:before="1"/>
        <w:ind w:left="832" w:hanging="355"/>
        <w:rPr>
          <w:rFonts w:ascii="Symbol" w:hAnsi="Symbol"/>
          <w:color w:val="231F20"/>
        </w:rPr>
      </w:pPr>
      <w:proofErr w:type="gramStart"/>
      <w:r>
        <w:rPr>
          <w:color w:val="231F20"/>
        </w:rPr>
        <w:t>the</w:t>
      </w:r>
      <w:proofErr w:type="gramEnd"/>
      <w:r>
        <w:rPr>
          <w:color w:val="231F20"/>
        </w:rPr>
        <w:t xml:space="preserve"> data has to be erased to comply with a legal</w:t>
      </w:r>
      <w:r>
        <w:rPr>
          <w:color w:val="231F20"/>
          <w:spacing w:val="-10"/>
        </w:rPr>
        <w:t xml:space="preserve"> </w:t>
      </w:r>
      <w:r>
        <w:rPr>
          <w:color w:val="231F20"/>
        </w:rPr>
        <w:t>obligation.</w:t>
      </w:r>
    </w:p>
    <w:p w:rsidR="006D2F0F" w:rsidRDefault="00D07DD6">
      <w:pPr>
        <w:pStyle w:val="BodyText"/>
        <w:spacing w:before="161" w:line="256" w:lineRule="auto"/>
        <w:ind w:left="120" w:right="807"/>
      </w:pPr>
      <w:r>
        <w:rPr>
          <w:color w:val="231F20"/>
        </w:rPr>
        <w:t>There are also exemptions to this right, for example it does not apply where the processing is necessary:</w:t>
      </w:r>
    </w:p>
    <w:p w:rsidR="006D2F0F" w:rsidRDefault="00D07DD6">
      <w:pPr>
        <w:pStyle w:val="ListParagraph"/>
        <w:numPr>
          <w:ilvl w:val="0"/>
          <w:numId w:val="1"/>
        </w:numPr>
        <w:tabs>
          <w:tab w:val="left" w:pos="840"/>
          <w:tab w:val="left" w:pos="841"/>
        </w:tabs>
        <w:spacing w:before="4"/>
        <w:ind w:hanging="360"/>
        <w:rPr>
          <w:rFonts w:ascii="Symbol" w:hAnsi="Symbol"/>
          <w:color w:val="231F20"/>
        </w:rPr>
      </w:pPr>
      <w:r>
        <w:rPr>
          <w:color w:val="231F20"/>
        </w:rPr>
        <w:t>to comply with a legal</w:t>
      </w:r>
      <w:r>
        <w:rPr>
          <w:color w:val="231F20"/>
          <w:spacing w:val="-7"/>
        </w:rPr>
        <w:t xml:space="preserve"> </w:t>
      </w:r>
      <w:r>
        <w:rPr>
          <w:color w:val="231F20"/>
        </w:rPr>
        <w:t>obligation;</w:t>
      </w:r>
    </w:p>
    <w:p w:rsidR="006D2F0F" w:rsidRDefault="00D07DD6">
      <w:pPr>
        <w:pStyle w:val="ListParagraph"/>
        <w:numPr>
          <w:ilvl w:val="0"/>
          <w:numId w:val="1"/>
        </w:numPr>
        <w:tabs>
          <w:tab w:val="left" w:pos="840"/>
          <w:tab w:val="left" w:pos="841"/>
        </w:tabs>
        <w:ind w:hanging="360"/>
        <w:rPr>
          <w:rFonts w:ascii="Symbol" w:hAnsi="Symbol"/>
          <w:color w:val="231F20"/>
        </w:rPr>
      </w:pPr>
      <w:r>
        <w:rPr>
          <w:color w:val="231F20"/>
        </w:rPr>
        <w:t>for the performance of a public interest task or exercise of official</w:t>
      </w:r>
      <w:r>
        <w:rPr>
          <w:color w:val="231F20"/>
          <w:spacing w:val="-15"/>
        </w:rPr>
        <w:t xml:space="preserve"> </w:t>
      </w:r>
      <w:r>
        <w:rPr>
          <w:color w:val="231F20"/>
        </w:rPr>
        <w:t>authority;</w:t>
      </w:r>
    </w:p>
    <w:p w:rsidR="006D2F0F" w:rsidRDefault="00D07DD6">
      <w:pPr>
        <w:pStyle w:val="ListParagraph"/>
        <w:numPr>
          <w:ilvl w:val="0"/>
          <w:numId w:val="1"/>
        </w:numPr>
        <w:tabs>
          <w:tab w:val="left" w:pos="840"/>
          <w:tab w:val="left" w:pos="841"/>
        </w:tabs>
        <w:spacing w:before="1" w:line="279" w:lineRule="exact"/>
        <w:ind w:hanging="360"/>
        <w:rPr>
          <w:rFonts w:ascii="Symbol" w:hAnsi="Symbol"/>
          <w:color w:val="231F20"/>
        </w:rPr>
      </w:pPr>
      <w:r>
        <w:rPr>
          <w:color w:val="231F20"/>
        </w:rPr>
        <w:t>for the establishment, exercise or defence of legal</w:t>
      </w:r>
      <w:r>
        <w:rPr>
          <w:color w:val="231F20"/>
          <w:spacing w:val="-8"/>
        </w:rPr>
        <w:t xml:space="preserve"> </w:t>
      </w:r>
      <w:r>
        <w:rPr>
          <w:color w:val="231F20"/>
        </w:rPr>
        <w:t>claims</w:t>
      </w:r>
    </w:p>
    <w:p w:rsidR="006D2F0F" w:rsidRDefault="00D07DD6">
      <w:pPr>
        <w:pStyle w:val="ListParagraph"/>
        <w:numPr>
          <w:ilvl w:val="0"/>
          <w:numId w:val="1"/>
        </w:numPr>
        <w:tabs>
          <w:tab w:val="left" w:pos="840"/>
          <w:tab w:val="left" w:pos="841"/>
        </w:tabs>
        <w:ind w:right="704" w:hanging="360"/>
        <w:rPr>
          <w:rFonts w:ascii="Symbol" w:hAnsi="Symbol"/>
          <w:color w:val="231F20"/>
        </w:rPr>
      </w:pPr>
      <w:r>
        <w:t>for archiving purposes in the public interest, scientific research historical research or statistical purposes where erasure is likely to render impossible or seriously impair the achievement of that</w:t>
      </w:r>
      <w:r>
        <w:rPr>
          <w:spacing w:val="-2"/>
        </w:rPr>
        <w:t xml:space="preserve"> </w:t>
      </w:r>
      <w:r>
        <w:t>processing</w:t>
      </w:r>
    </w:p>
    <w:p w:rsidR="006D2F0F" w:rsidRDefault="00D07DD6">
      <w:pPr>
        <w:pStyle w:val="BodyText"/>
        <w:spacing w:before="119"/>
        <w:ind w:left="117" w:right="249" w:firstLine="2"/>
      </w:pPr>
      <w:r>
        <w:rPr>
          <w:color w:val="231F20"/>
        </w:rPr>
        <w:t>If you have disclosed the personal data to others, you must contact each recipient and inform them of the erasure, unless this proves impossible or involves disproportionate effort. If asked to, you must also inform the individuals about these recipients.</w:t>
      </w:r>
    </w:p>
    <w:p w:rsidR="006D2F0F" w:rsidRDefault="006D2F0F">
      <w:pPr>
        <w:pStyle w:val="BodyText"/>
        <w:rPr>
          <w:sz w:val="20"/>
        </w:rPr>
      </w:pPr>
    </w:p>
    <w:p w:rsidR="00A17FA4" w:rsidRDefault="00A17FA4" w:rsidP="00DC2C57">
      <w:pPr>
        <w:ind w:left="117"/>
      </w:pPr>
      <w:r>
        <w:t>If you have any queries about such a request you should contact the Authority’s Information Governance Unit.</w:t>
      </w:r>
    </w:p>
    <w:p w:rsidR="006D2F0F" w:rsidRDefault="006D2F0F">
      <w:pPr>
        <w:pStyle w:val="BodyText"/>
        <w:rPr>
          <w:sz w:val="20"/>
        </w:rPr>
      </w:pPr>
    </w:p>
    <w:p w:rsidR="00A17FA4" w:rsidRDefault="00A17FA4" w:rsidP="00A17FA4">
      <w:pPr>
        <w:pStyle w:val="Heading1"/>
        <w:rPr>
          <w:u w:val="none"/>
        </w:rPr>
      </w:pPr>
      <w:r>
        <w:t>Slide 30:</w:t>
      </w:r>
    </w:p>
    <w:p w:rsidR="00A17FA4" w:rsidRDefault="00A17FA4" w:rsidP="00A17FA4">
      <w:pPr>
        <w:pStyle w:val="BodyText"/>
        <w:spacing w:before="7"/>
        <w:rPr>
          <w:b/>
          <w:sz w:val="10"/>
        </w:rPr>
      </w:pPr>
    </w:p>
    <w:p w:rsidR="00A17FA4" w:rsidRDefault="00A17FA4" w:rsidP="00A17FA4">
      <w:pPr>
        <w:pStyle w:val="Heading2"/>
        <w:spacing w:before="57"/>
        <w:rPr>
          <w:u w:val="none"/>
        </w:rPr>
      </w:pPr>
      <w:r>
        <w:rPr>
          <w:color w:val="231F20"/>
          <w:u w:color="231F20"/>
        </w:rPr>
        <w:t>The right to restrict processing:</w:t>
      </w:r>
    </w:p>
    <w:p w:rsidR="00A17FA4" w:rsidRDefault="00A17FA4" w:rsidP="00A17FA4">
      <w:pPr>
        <w:pStyle w:val="BodyText"/>
        <w:ind w:left="119" w:right="105"/>
      </w:pPr>
      <w:r>
        <w:rPr>
          <w:color w:val="231F20"/>
        </w:rPr>
        <w:t>An individual is entitled to request that the School stops processing the personal data it holds about them in certain circumstances. This is not an absolute right and only applies in certain circumstances.</w:t>
      </w:r>
    </w:p>
    <w:p w:rsidR="006D2F0F" w:rsidRDefault="006D2F0F">
      <w:pPr>
        <w:pStyle w:val="BodyText"/>
        <w:rPr>
          <w:sz w:val="20"/>
        </w:rPr>
      </w:pPr>
    </w:p>
    <w:p w:rsidR="00046EEF" w:rsidRDefault="00046EEF" w:rsidP="00046EEF">
      <w:pPr>
        <w:pStyle w:val="BodyText"/>
        <w:ind w:left="117" w:right="930"/>
      </w:pPr>
      <w:r>
        <w:rPr>
          <w:color w:val="231F20"/>
        </w:rPr>
        <w:t>Individuals have the right to request you restrict the processing of their personal data in the following circumstances:</w:t>
      </w:r>
    </w:p>
    <w:p w:rsidR="00046EEF" w:rsidRDefault="00046EEF" w:rsidP="00046EEF">
      <w:pPr>
        <w:pStyle w:val="ListParagraph"/>
        <w:numPr>
          <w:ilvl w:val="0"/>
          <w:numId w:val="1"/>
        </w:numPr>
        <w:tabs>
          <w:tab w:val="left" w:pos="832"/>
          <w:tab w:val="left" w:pos="833"/>
        </w:tabs>
        <w:spacing w:before="121"/>
        <w:ind w:left="831" w:right="136" w:hanging="354"/>
        <w:rPr>
          <w:rFonts w:ascii="Symbol" w:hAnsi="Symbol"/>
          <w:color w:val="231F20"/>
          <w:sz w:val="20"/>
        </w:rPr>
      </w:pPr>
      <w:r>
        <w:rPr>
          <w:color w:val="231F20"/>
        </w:rPr>
        <w:t>where the individual contests the accuracy of their personal data (while you are verifying the accuracy of the</w:t>
      </w:r>
      <w:r>
        <w:rPr>
          <w:color w:val="231F20"/>
          <w:spacing w:val="-4"/>
        </w:rPr>
        <w:t xml:space="preserve"> </w:t>
      </w:r>
      <w:r>
        <w:rPr>
          <w:color w:val="231F20"/>
        </w:rPr>
        <w:t>data);</w:t>
      </w:r>
    </w:p>
    <w:p w:rsidR="00046EEF" w:rsidRDefault="00046EEF" w:rsidP="00046EEF">
      <w:pPr>
        <w:pStyle w:val="ListParagraph"/>
        <w:numPr>
          <w:ilvl w:val="0"/>
          <w:numId w:val="1"/>
        </w:numPr>
        <w:tabs>
          <w:tab w:val="left" w:pos="839"/>
          <w:tab w:val="left" w:pos="840"/>
        </w:tabs>
        <w:ind w:left="839" w:right="732" w:hanging="359"/>
        <w:rPr>
          <w:rFonts w:ascii="Symbol" w:hAnsi="Symbol"/>
          <w:color w:val="231F20"/>
          <w:sz w:val="20"/>
        </w:rPr>
      </w:pPr>
      <w:r>
        <w:rPr>
          <w:color w:val="231F20"/>
        </w:rPr>
        <w:t>where the data has been unlawfully processed but the individual opposes erasure and requests restriction</w:t>
      </w:r>
      <w:r>
        <w:rPr>
          <w:color w:val="231F20"/>
          <w:spacing w:val="-2"/>
        </w:rPr>
        <w:t xml:space="preserve"> </w:t>
      </w:r>
      <w:r>
        <w:rPr>
          <w:color w:val="231F20"/>
        </w:rPr>
        <w:t>instead;</w:t>
      </w:r>
    </w:p>
    <w:p w:rsidR="00046EEF" w:rsidRDefault="00046EEF" w:rsidP="00046EEF">
      <w:pPr>
        <w:pStyle w:val="ListParagraph"/>
        <w:numPr>
          <w:ilvl w:val="0"/>
          <w:numId w:val="1"/>
        </w:numPr>
        <w:tabs>
          <w:tab w:val="left" w:pos="839"/>
          <w:tab w:val="left" w:pos="840"/>
        </w:tabs>
        <w:ind w:left="839" w:right="202" w:hanging="359"/>
        <w:rPr>
          <w:rFonts w:ascii="Symbol" w:hAnsi="Symbol"/>
          <w:color w:val="231F20"/>
          <w:sz w:val="20"/>
        </w:rPr>
      </w:pPr>
      <w:r>
        <w:rPr>
          <w:color w:val="231F20"/>
        </w:rPr>
        <w:t>where you no longer need the personal data but the individual needs you to keep it in order to establish, exercise or defend a legal claim;</w:t>
      </w:r>
      <w:r>
        <w:rPr>
          <w:color w:val="231F20"/>
          <w:spacing w:val="-9"/>
        </w:rPr>
        <w:t xml:space="preserve"> </w:t>
      </w:r>
      <w:r>
        <w:rPr>
          <w:color w:val="231F20"/>
        </w:rPr>
        <w:t>or</w:t>
      </w:r>
    </w:p>
    <w:p w:rsidR="00046EEF" w:rsidRDefault="00046EEF" w:rsidP="00046EEF">
      <w:pPr>
        <w:pStyle w:val="ListParagraph"/>
        <w:numPr>
          <w:ilvl w:val="0"/>
          <w:numId w:val="1"/>
        </w:numPr>
        <w:tabs>
          <w:tab w:val="left" w:pos="839"/>
          <w:tab w:val="left" w:pos="840"/>
        </w:tabs>
        <w:ind w:left="839" w:right="908" w:hanging="359"/>
        <w:rPr>
          <w:rFonts w:ascii="Symbol" w:hAnsi="Symbol"/>
          <w:color w:val="231F20"/>
          <w:sz w:val="20"/>
        </w:rPr>
      </w:pPr>
      <w:proofErr w:type="gramStart"/>
      <w:r>
        <w:rPr>
          <w:color w:val="231F20"/>
        </w:rPr>
        <w:t>where</w:t>
      </w:r>
      <w:proofErr w:type="gramEnd"/>
      <w:r>
        <w:rPr>
          <w:color w:val="231F20"/>
        </w:rPr>
        <w:t xml:space="preserve"> the individual has objected to you processing their data, (while you verify the legitimate grounds for</w:t>
      </w:r>
      <w:r>
        <w:rPr>
          <w:color w:val="231F20"/>
          <w:spacing w:val="-2"/>
        </w:rPr>
        <w:t xml:space="preserve"> </w:t>
      </w:r>
      <w:r>
        <w:rPr>
          <w:color w:val="231F20"/>
        </w:rPr>
        <w:t>processing).</w:t>
      </w:r>
    </w:p>
    <w:p w:rsidR="00046EEF" w:rsidRDefault="00046EEF" w:rsidP="00046EEF">
      <w:pPr>
        <w:pStyle w:val="BodyText"/>
        <w:spacing w:before="12"/>
        <w:rPr>
          <w:sz w:val="21"/>
        </w:rPr>
      </w:pPr>
    </w:p>
    <w:p w:rsidR="00046EEF" w:rsidRDefault="00046EEF" w:rsidP="00046EEF">
      <w:pPr>
        <w:pStyle w:val="BodyText"/>
        <w:spacing w:line="400" w:lineRule="auto"/>
        <w:ind w:left="118" w:right="581"/>
      </w:pPr>
      <w:r>
        <w:rPr>
          <w:color w:val="231F20"/>
        </w:rPr>
        <w:t>When processing is restricted, the School is permitted to store the personal data, but not use it. If you decide to lift a restriction on processing, you must tell the data subject</w:t>
      </w: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6D2F0F" w:rsidRDefault="00DC2C57" w:rsidP="005C0654">
      <w:pPr>
        <w:pStyle w:val="BodyText"/>
        <w:rPr>
          <w:sz w:val="21"/>
        </w:rPr>
      </w:pPr>
      <w:r>
        <w:rPr>
          <w:noProof/>
          <w:lang w:bidi="ar-SA"/>
        </w:rPr>
        <w:drawing>
          <wp:inline distT="0" distB="0" distL="0" distR="0">
            <wp:extent cx="2942170" cy="1000125"/>
            <wp:effectExtent l="0" t="0" r="0" b="0"/>
            <wp:docPr id="29"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77A0F" w:rsidRDefault="00277A0F" w:rsidP="00277A0F">
      <w:pPr>
        <w:ind w:left="120"/>
        <w:rPr>
          <w:b/>
          <w:sz w:val="28"/>
        </w:rPr>
      </w:pPr>
      <w:r>
        <w:rPr>
          <w:b/>
          <w:color w:val="231F20"/>
          <w:sz w:val="28"/>
          <w:u w:val="single" w:color="231F20"/>
        </w:rPr>
        <w:t>Slide 31:</w:t>
      </w:r>
    </w:p>
    <w:p w:rsidR="00277A0F" w:rsidRDefault="00277A0F" w:rsidP="00277A0F">
      <w:pPr>
        <w:pStyle w:val="BodyText"/>
        <w:spacing w:before="3"/>
        <w:rPr>
          <w:b/>
          <w:sz w:val="17"/>
        </w:rPr>
      </w:pPr>
    </w:p>
    <w:p w:rsidR="00277A0F" w:rsidRDefault="00277A0F" w:rsidP="00277A0F">
      <w:pPr>
        <w:pStyle w:val="Heading2"/>
        <w:spacing w:before="57"/>
        <w:rPr>
          <w:u w:val="none"/>
        </w:rPr>
      </w:pPr>
      <w:r>
        <w:rPr>
          <w:color w:val="231F20"/>
          <w:u w:color="231F20"/>
        </w:rPr>
        <w:t>The right to object:</w:t>
      </w:r>
    </w:p>
    <w:p w:rsidR="00277A0F" w:rsidRDefault="00277A0F" w:rsidP="00277A0F">
      <w:pPr>
        <w:pStyle w:val="BodyText"/>
        <w:ind w:left="117" w:right="263" w:firstLine="2"/>
      </w:pPr>
      <w:r>
        <w:rPr>
          <w:color w:val="231F20"/>
        </w:rPr>
        <w:t>Data subjects can object to certain types of processing. Individuals have an absolute right to stop their data being used for direct marketing. In other cases where the right to object applies the Data Controller may be able to continue processing if it can show that you have a compelling reason for doing so.</w:t>
      </w:r>
    </w:p>
    <w:p w:rsidR="00277A0F" w:rsidRDefault="00277A0F">
      <w:pPr>
        <w:pStyle w:val="BodyText"/>
        <w:spacing w:before="11"/>
        <w:rPr>
          <w:sz w:val="21"/>
        </w:rPr>
      </w:pPr>
    </w:p>
    <w:p w:rsidR="006D2F0F" w:rsidRDefault="00D07DD6">
      <w:pPr>
        <w:spacing w:before="1"/>
        <w:ind w:left="120"/>
        <w:rPr>
          <w:b/>
          <w:sz w:val="28"/>
        </w:rPr>
      </w:pPr>
      <w:r>
        <w:rPr>
          <w:b/>
          <w:color w:val="231F20"/>
          <w:sz w:val="28"/>
          <w:u w:val="single" w:color="231F20"/>
        </w:rPr>
        <w:t>Slide 32:</w:t>
      </w:r>
    </w:p>
    <w:p w:rsidR="006D2F0F" w:rsidRDefault="006D2F0F">
      <w:pPr>
        <w:pStyle w:val="BodyText"/>
        <w:spacing w:before="3"/>
        <w:rPr>
          <w:b/>
          <w:sz w:val="17"/>
        </w:rPr>
      </w:pPr>
    </w:p>
    <w:p w:rsidR="006D2F0F" w:rsidRDefault="00D07DD6">
      <w:pPr>
        <w:pStyle w:val="Heading2"/>
        <w:rPr>
          <w:u w:val="none"/>
        </w:rPr>
      </w:pPr>
      <w:r>
        <w:t>The right to data portability:</w:t>
      </w:r>
    </w:p>
    <w:p w:rsidR="006D2F0F" w:rsidRDefault="00D07DD6" w:rsidP="00277A0F">
      <w:pPr>
        <w:pStyle w:val="BodyText"/>
        <w:spacing w:before="1"/>
        <w:ind w:left="120" w:right="487"/>
      </w:pPr>
      <w:r>
        <w:t>This right permits the individual to receive a copy of his or her personal data in a commonly used electronic format (for example, Microsoft Word) and use the data for their own purposes across different services. It allows them to move, copy or transfer personal data easily from one IT environment to another in a safe and secure way, without affecting its usability.</w:t>
      </w:r>
    </w:p>
    <w:p w:rsidR="006D2F0F" w:rsidRDefault="00D07DD6">
      <w:pPr>
        <w:pStyle w:val="Heading1"/>
        <w:spacing w:before="181"/>
        <w:rPr>
          <w:u w:val="none"/>
        </w:rPr>
      </w:pPr>
      <w:r>
        <w:t>Slide 33:</w:t>
      </w:r>
    </w:p>
    <w:p w:rsidR="006D2F0F" w:rsidRDefault="006D2F0F">
      <w:pPr>
        <w:pStyle w:val="BodyText"/>
        <w:spacing w:before="10"/>
        <w:rPr>
          <w:b/>
          <w:sz w:val="10"/>
        </w:rPr>
      </w:pPr>
    </w:p>
    <w:p w:rsidR="006D2F0F" w:rsidRDefault="00D07DD6">
      <w:pPr>
        <w:pStyle w:val="Heading2"/>
        <w:rPr>
          <w:u w:val="none"/>
        </w:rPr>
      </w:pPr>
      <w:r>
        <w:t>Rights on automated decision making/profiling</w:t>
      </w:r>
    </w:p>
    <w:p w:rsidR="006D2F0F" w:rsidRDefault="006D2F0F">
      <w:pPr>
        <w:pStyle w:val="BodyText"/>
        <w:spacing w:before="2"/>
        <w:rPr>
          <w:b/>
          <w:sz w:val="10"/>
        </w:rPr>
      </w:pPr>
    </w:p>
    <w:p w:rsidR="006D2F0F" w:rsidRDefault="00D07DD6">
      <w:pPr>
        <w:pStyle w:val="BodyText"/>
        <w:spacing w:before="57" w:line="259" w:lineRule="auto"/>
        <w:ind w:left="119" w:right="508"/>
      </w:pPr>
      <w:r>
        <w:t>This provides safeguards for data subjects against the risk that a potentially damaging decision is taken about them without human intervention. This right only arises where the Data Controller undertakes automated decision/profiling, which is highly unlikely to be used in school settings.</w:t>
      </w:r>
    </w:p>
    <w:p w:rsidR="006D2F0F" w:rsidRDefault="006D2F0F">
      <w:pPr>
        <w:pStyle w:val="BodyText"/>
        <w:rPr>
          <w:sz w:val="20"/>
        </w:rPr>
      </w:pPr>
    </w:p>
    <w:p w:rsidR="00A17FA4" w:rsidRPr="00A17FA4" w:rsidRDefault="00A17FA4" w:rsidP="004A3E04">
      <w:pPr>
        <w:ind w:left="119"/>
        <w:rPr>
          <w:b/>
        </w:rPr>
      </w:pPr>
      <w:r w:rsidRPr="00A17FA4">
        <w:rPr>
          <w:b/>
        </w:rPr>
        <w:t>The Authority’s Information Governance Unit can offer advice and guidance wherever a school</w:t>
      </w:r>
      <w:r>
        <w:rPr>
          <w:b/>
        </w:rPr>
        <w:t xml:space="preserve"> </w:t>
      </w:r>
      <w:r w:rsidRPr="00A17FA4">
        <w:rPr>
          <w:b/>
        </w:rPr>
        <w:t>receives a request from a Data subject to exercise any of their rights.</w:t>
      </w:r>
    </w:p>
    <w:p w:rsidR="006D2F0F" w:rsidRDefault="006D2F0F">
      <w:pPr>
        <w:pStyle w:val="BodyText"/>
        <w:spacing w:before="3"/>
        <w:rPr>
          <w:sz w:val="18"/>
        </w:rPr>
      </w:pPr>
    </w:p>
    <w:p w:rsidR="00A17FA4" w:rsidRDefault="00A17FA4" w:rsidP="00A17FA4">
      <w:pPr>
        <w:ind w:left="120"/>
        <w:rPr>
          <w:b/>
          <w:sz w:val="28"/>
        </w:rPr>
      </w:pPr>
      <w:r>
        <w:rPr>
          <w:b/>
          <w:sz w:val="28"/>
          <w:u w:val="single"/>
        </w:rPr>
        <w:t>Slide 34:</w:t>
      </w:r>
    </w:p>
    <w:p w:rsidR="00A17FA4" w:rsidRDefault="00A17FA4" w:rsidP="00A17FA4">
      <w:pPr>
        <w:pStyle w:val="BodyText"/>
        <w:spacing w:before="10"/>
        <w:rPr>
          <w:b/>
          <w:sz w:val="10"/>
        </w:rPr>
      </w:pPr>
    </w:p>
    <w:p w:rsidR="00A17FA4" w:rsidRDefault="00A17FA4" w:rsidP="00A17FA4">
      <w:pPr>
        <w:spacing w:before="56"/>
        <w:ind w:left="120"/>
        <w:rPr>
          <w:b/>
        </w:rPr>
      </w:pPr>
      <w:r>
        <w:rPr>
          <w:b/>
          <w:color w:val="231F20"/>
          <w:u w:val="single" w:color="231F20"/>
        </w:rPr>
        <w:t>Subject Access Request:</w:t>
      </w:r>
    </w:p>
    <w:p w:rsidR="00A17FA4" w:rsidRDefault="00A17FA4" w:rsidP="00A17FA4">
      <w:pPr>
        <w:pStyle w:val="BodyText"/>
        <w:spacing w:before="3" w:line="237" w:lineRule="auto"/>
        <w:ind w:left="120" w:right="569"/>
      </w:pPr>
      <w:r>
        <w:rPr>
          <w:color w:val="231F20"/>
        </w:rPr>
        <w:t>An individual may make a subject access request (“SAR”) at any time to find out more about the personal data which the School holds on them.</w:t>
      </w:r>
    </w:p>
    <w:p w:rsidR="00A17FA4" w:rsidRDefault="00A17FA4">
      <w:pPr>
        <w:pStyle w:val="BodyText"/>
        <w:spacing w:before="3"/>
        <w:rPr>
          <w:sz w:val="18"/>
        </w:rPr>
      </w:pPr>
    </w:p>
    <w:p w:rsidR="00046EEF" w:rsidRDefault="00046EEF" w:rsidP="00046EEF">
      <w:pPr>
        <w:pStyle w:val="BodyText"/>
        <w:ind w:left="120" w:right="188"/>
      </w:pPr>
      <w:r>
        <w:t>A SAR does not have to include the phrase 'subject access request' or Article 15 of the GDPR, as long as it is clear that the individual is asking for their own personal data (or, in the case of a parent, their child’s personal data).</w:t>
      </w:r>
    </w:p>
    <w:p w:rsidR="00046EEF" w:rsidRDefault="00046EEF" w:rsidP="00046EEF">
      <w:pPr>
        <w:pStyle w:val="BodyText"/>
        <w:spacing w:before="4"/>
      </w:pPr>
    </w:p>
    <w:p w:rsidR="00046EEF" w:rsidRDefault="00046EEF" w:rsidP="00046EEF">
      <w:pPr>
        <w:pStyle w:val="BodyText"/>
        <w:spacing w:line="237" w:lineRule="auto"/>
        <w:ind w:left="120" w:right="963"/>
      </w:pPr>
      <w:r>
        <w:rPr>
          <w:color w:val="231F20"/>
        </w:rPr>
        <w:t>An Individual can make a SAR in writing or verbally, whether in person for example during a parent/teacher meeting or via phone).</w:t>
      </w:r>
    </w:p>
    <w:p w:rsidR="00046EEF" w:rsidRDefault="00046EEF" w:rsidP="00046EEF">
      <w:pPr>
        <w:pStyle w:val="BodyText"/>
        <w:spacing w:before="1"/>
      </w:pPr>
    </w:p>
    <w:p w:rsidR="00046EEF" w:rsidRDefault="00046EEF" w:rsidP="00046EEF">
      <w:pPr>
        <w:pStyle w:val="BodyText"/>
        <w:ind w:left="120" w:right="405"/>
      </w:pPr>
      <w:r>
        <w:rPr>
          <w:color w:val="231F20"/>
        </w:rPr>
        <w:t xml:space="preserve">A SAR </w:t>
      </w:r>
      <w:r>
        <w:t xml:space="preserve">does not have to be to a specific person or contact point, it </w:t>
      </w:r>
      <w:r>
        <w:rPr>
          <w:color w:val="231F20"/>
        </w:rPr>
        <w:t>may even be communicated via the School’s social media pages including Facebook, Twitter, etc.</w:t>
      </w:r>
    </w:p>
    <w:p w:rsidR="00046EEF" w:rsidRDefault="00046EEF" w:rsidP="00046EEF">
      <w:pPr>
        <w:pStyle w:val="BodyText"/>
        <w:spacing w:before="1"/>
      </w:pPr>
    </w:p>
    <w:p w:rsidR="00046EEF" w:rsidRDefault="00046EEF" w:rsidP="00046EEF">
      <w:pPr>
        <w:pStyle w:val="BodyText"/>
        <w:ind w:left="120" w:right="350"/>
      </w:pPr>
      <w:r>
        <w:rPr>
          <w:color w:val="231F20"/>
        </w:rPr>
        <w:t>Within schools any SAR which is received by or otherwise come to the attention of any member of staff MUST be brought to the immediate attention of the principal.</w:t>
      </w:r>
    </w:p>
    <w:p w:rsidR="00046EEF" w:rsidRDefault="00046EEF" w:rsidP="00046EEF">
      <w:pPr>
        <w:pStyle w:val="BodyText"/>
        <w:spacing w:before="1"/>
      </w:pPr>
    </w:p>
    <w:p w:rsidR="00DC2C57" w:rsidRPr="00277A0F" w:rsidRDefault="00046EEF" w:rsidP="00277A0F">
      <w:pPr>
        <w:pStyle w:val="BodyText"/>
        <w:ind w:left="120" w:right="181"/>
      </w:pPr>
      <w:r>
        <w:rPr>
          <w:color w:val="231F20"/>
        </w:rPr>
        <w:t>This is necessary because the school, as Data Controller is required to respond to any SAR it receives without delay and, at latest, within one month of receipt. While extensions of up to 2 months are possible in very limited circumstances ( in the case of complex and/or numerous requests), even where an extension is being relied upon, the individual must be informed of this, in writing, within one month of receipt of the original request.</w:t>
      </w:r>
    </w:p>
    <w:p w:rsidR="002E2FB4" w:rsidRDefault="002E2FB4" w:rsidP="002E2FB4">
      <w:pPr>
        <w:spacing w:before="59"/>
        <w:ind w:firstLine="120"/>
        <w:rPr>
          <w:rFonts w:ascii="Calibri Light"/>
          <w:color w:val="4472C4"/>
          <w:sz w:val="20"/>
        </w:rPr>
      </w:pPr>
    </w:p>
    <w:p w:rsidR="006D2F0F" w:rsidRDefault="006D2F0F">
      <w:pPr>
        <w:rPr>
          <w:rFonts w:ascii="Calibri Light"/>
          <w:sz w:val="20"/>
        </w:rPr>
        <w:sectPr w:rsidR="006D2F0F">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D2F0F" w:rsidRDefault="006D2F0F">
      <w:pPr>
        <w:pStyle w:val="BodyText"/>
        <w:rPr>
          <w:rFonts w:ascii="Calibri Light"/>
          <w:sz w:val="20"/>
        </w:rPr>
      </w:pPr>
    </w:p>
    <w:p w:rsidR="00277A0F" w:rsidRDefault="00DC2C57" w:rsidP="005C0654">
      <w:pPr>
        <w:pStyle w:val="BodyText"/>
        <w:rPr>
          <w:color w:val="231F20"/>
        </w:rPr>
      </w:pPr>
      <w:r>
        <w:rPr>
          <w:noProof/>
          <w:lang w:bidi="ar-SA"/>
        </w:rPr>
        <w:drawing>
          <wp:inline distT="0" distB="0" distL="0" distR="0">
            <wp:extent cx="2942170" cy="1000125"/>
            <wp:effectExtent l="0" t="0" r="0" b="0"/>
            <wp:docPr id="30"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77A0F" w:rsidRDefault="00277A0F" w:rsidP="00277A0F">
      <w:pPr>
        <w:pStyle w:val="BodyText"/>
        <w:ind w:left="120" w:right="205"/>
      </w:pPr>
      <w:r>
        <w:rPr>
          <w:color w:val="231F20"/>
        </w:rPr>
        <w:t>Schools may not charge a fee for the handling of a straightforward SAR. A ‘reasonable fee’ may only be raised where the request is ‘manifestly unfounded, excessive or repetitive’.</w:t>
      </w:r>
    </w:p>
    <w:p w:rsidR="00046EEF" w:rsidRDefault="00046EEF">
      <w:pPr>
        <w:pStyle w:val="BodyText"/>
        <w:ind w:left="120" w:right="132"/>
        <w:rPr>
          <w:color w:val="231F20"/>
        </w:rPr>
      </w:pPr>
    </w:p>
    <w:p w:rsidR="006D2F0F" w:rsidRDefault="00D07DD6">
      <w:pPr>
        <w:pStyle w:val="BodyText"/>
        <w:ind w:left="120" w:right="132"/>
      </w:pPr>
      <w:r>
        <w:rPr>
          <w:color w:val="231F20"/>
        </w:rPr>
        <w:t>There are some circumstances in which a School may not have to respond to a SAR, for example, if the school cannot confirm the applicants identity or if they are not the person to whom the personal data relates, they do not have parental responsibility for the pupil’s whose data they have requested and/or no authorisation has been provided for the release of this information to a third party.</w:t>
      </w:r>
    </w:p>
    <w:p w:rsidR="006D2F0F" w:rsidRDefault="006D2F0F">
      <w:pPr>
        <w:pStyle w:val="BodyText"/>
        <w:spacing w:before="11"/>
        <w:rPr>
          <w:sz w:val="21"/>
        </w:rPr>
      </w:pPr>
    </w:p>
    <w:p w:rsidR="006D2F0F" w:rsidRDefault="00D07DD6" w:rsidP="00DC2C57">
      <w:pPr>
        <w:pStyle w:val="BodyText"/>
        <w:ind w:left="120" w:right="226"/>
      </w:pPr>
      <w:r>
        <w:rPr>
          <w:color w:val="231F20"/>
        </w:rPr>
        <w:t>The EA have devised a separate more detailed training module on SAR’s which is designed for those within schools who have duties or responsibilities in respect to dealing with SAR’s.</w:t>
      </w:r>
    </w:p>
    <w:p w:rsidR="006D2F0F" w:rsidRDefault="006D2F0F">
      <w:pPr>
        <w:pStyle w:val="BodyText"/>
        <w:spacing w:before="4"/>
        <w:rPr>
          <w:sz w:val="21"/>
        </w:rPr>
      </w:pPr>
    </w:p>
    <w:p w:rsidR="006D2F0F" w:rsidRDefault="00D07DD6">
      <w:pPr>
        <w:pStyle w:val="Heading1"/>
        <w:rPr>
          <w:u w:val="none"/>
        </w:rPr>
      </w:pPr>
      <w:r>
        <w:t>Slide 35: Lawfulness of Processing Children’s Personal Data</w:t>
      </w:r>
    </w:p>
    <w:p w:rsidR="006D2F0F" w:rsidRDefault="006D2F0F">
      <w:pPr>
        <w:pStyle w:val="BodyText"/>
        <w:spacing w:before="10"/>
        <w:rPr>
          <w:b/>
          <w:sz w:val="10"/>
        </w:rPr>
      </w:pPr>
    </w:p>
    <w:p w:rsidR="006D2F0F" w:rsidRDefault="00D07DD6">
      <w:pPr>
        <w:pStyle w:val="BodyText"/>
        <w:spacing w:before="56"/>
        <w:ind w:left="120"/>
      </w:pPr>
      <w:r>
        <w:t>The GDPR has introduced some special protection for Children’s personal data.</w:t>
      </w:r>
    </w:p>
    <w:p w:rsidR="006D2F0F" w:rsidRDefault="00D07DD6">
      <w:pPr>
        <w:pStyle w:val="BodyText"/>
        <w:spacing w:before="180"/>
        <w:ind w:left="120"/>
      </w:pPr>
      <w:r>
        <w:t>Extra care MUST be taken especially for online processing of children’s personal data.</w:t>
      </w:r>
    </w:p>
    <w:p w:rsidR="006D2F0F" w:rsidRDefault="00D07DD6">
      <w:pPr>
        <w:pStyle w:val="BodyText"/>
        <w:spacing w:before="183" w:line="256" w:lineRule="auto"/>
        <w:ind w:left="120"/>
      </w:pPr>
      <w:r>
        <w:t>To be a data protection champion you should make sure that how and why children’s information is processed is easy for them to understand.</w:t>
      </w:r>
    </w:p>
    <w:p w:rsidR="006D2F0F" w:rsidRDefault="006D2F0F">
      <w:pPr>
        <w:pStyle w:val="BodyText"/>
        <w:rPr>
          <w:sz w:val="20"/>
        </w:rPr>
      </w:pPr>
    </w:p>
    <w:p w:rsidR="00DC2C57" w:rsidRDefault="00DC2C57" w:rsidP="00046EEF">
      <w:pPr>
        <w:ind w:firstLine="120"/>
      </w:pPr>
      <w:r>
        <w:t>For more information you can refer to the Authority or the ICO.</w:t>
      </w:r>
    </w:p>
    <w:p w:rsidR="00DC2C57" w:rsidRPr="00250C5B" w:rsidRDefault="00DC2C57" w:rsidP="00250C5B">
      <w:pPr>
        <w:pStyle w:val="Heading1"/>
        <w:spacing w:before="152"/>
        <w:rPr>
          <w:u w:val="none"/>
        </w:rPr>
      </w:pPr>
      <w:r>
        <w:t>Slide 36: Data Breaches</w:t>
      </w:r>
    </w:p>
    <w:p w:rsidR="00250C5B" w:rsidRPr="00250C5B" w:rsidRDefault="00250C5B" w:rsidP="00046EEF">
      <w:pPr>
        <w:pStyle w:val="BodyText"/>
        <w:spacing w:before="159" w:line="259" w:lineRule="auto"/>
        <w:ind w:left="119" w:right="666"/>
        <w:rPr>
          <w:b/>
          <w:i/>
        </w:rPr>
      </w:pPr>
      <w:r w:rsidRPr="00250C5B">
        <w:rPr>
          <w:b/>
          <w:i/>
        </w:rPr>
        <w:t>A Personal data breach is defined, at law, as a breach of security leading to the accidental or unlawful destruction, loss, alteration, or unauthorised disclosure of or access to personal data.</w:t>
      </w:r>
    </w:p>
    <w:p w:rsidR="00DC2C57" w:rsidRPr="00046EEF" w:rsidRDefault="00DC2C57" w:rsidP="00046EEF">
      <w:pPr>
        <w:pStyle w:val="BodyText"/>
        <w:spacing w:before="159" w:line="259" w:lineRule="auto"/>
        <w:ind w:left="119" w:right="666"/>
      </w:pPr>
      <w:r>
        <w:t>Data breaches can occur for a wide variety of reasons including loss or theft of equipment, unauthorised access to data, unforeseen circumstances such as fire/flood, hacking, viruses and human error.</w:t>
      </w:r>
    </w:p>
    <w:p w:rsidR="00046EEF" w:rsidRDefault="00046EEF" w:rsidP="00046EEF">
      <w:pPr>
        <w:pStyle w:val="BodyText"/>
        <w:spacing w:before="160" w:line="259" w:lineRule="auto"/>
        <w:ind w:left="119" w:right="497"/>
      </w:pPr>
      <w:r>
        <w:t>All schools are required to make a report to the ICO of any personal data breach which has the potential to have a significant detrimental impact on an individual, within 72 hours of the breach first occurring/coming to the knowledge of the school.</w:t>
      </w:r>
    </w:p>
    <w:p w:rsidR="00046EEF" w:rsidRDefault="00046EEF" w:rsidP="00046EEF">
      <w:pPr>
        <w:pStyle w:val="BodyText"/>
        <w:spacing w:before="159" w:line="259" w:lineRule="auto"/>
        <w:ind w:left="119" w:right="551"/>
      </w:pPr>
      <w:r>
        <w:t>The ICO can impose fines on organisations, including schools who commit serious data breaches and/or who fail to notify the ICO of reportable data breaches.</w:t>
      </w:r>
    </w:p>
    <w:p w:rsidR="00046EEF" w:rsidRDefault="00046EEF" w:rsidP="00046EEF">
      <w:pPr>
        <w:pStyle w:val="BodyText"/>
        <w:spacing w:before="159" w:line="259" w:lineRule="auto"/>
        <w:ind w:left="119" w:right="578"/>
      </w:pPr>
      <w:r>
        <w:t>All potential data breaches MUST be brought to the IMMEDIATE ATTENTION of the Principal who will consult with the School's DPO as to the appropriate next steps.</w:t>
      </w:r>
    </w:p>
    <w:p w:rsidR="00046EEF" w:rsidRDefault="00046EEF" w:rsidP="00046EEF">
      <w:pPr>
        <w:pStyle w:val="BodyText"/>
        <w:spacing w:before="160" w:line="259" w:lineRule="auto"/>
        <w:ind w:left="119" w:right="665"/>
        <w:jc w:val="both"/>
      </w:pPr>
      <w:r>
        <w:t xml:space="preserve">In order to raise awareness of what data breaches are, how to reduce the risk of data breaches occurring) and what to do when a data breach occurs, all school staff MUST complete the </w:t>
      </w:r>
      <w:r>
        <w:rPr>
          <w:i/>
        </w:rPr>
        <w:t xml:space="preserve">Data Breach Management </w:t>
      </w:r>
      <w:r>
        <w:t>training module.</w:t>
      </w:r>
    </w:p>
    <w:p w:rsidR="002E2FB4" w:rsidRDefault="002E2FB4" w:rsidP="002E2FB4">
      <w:pPr>
        <w:pStyle w:val="Heading1"/>
        <w:spacing w:before="159"/>
        <w:ind w:left="119"/>
        <w:rPr>
          <w:u w:val="none"/>
        </w:rPr>
      </w:pPr>
      <w:r>
        <w:t>Slide 36: Contacting the IG Team at the EA</w:t>
      </w:r>
    </w:p>
    <w:p w:rsidR="00046EEF" w:rsidRDefault="002E2FB4" w:rsidP="005C0654">
      <w:pPr>
        <w:pStyle w:val="BodyText"/>
        <w:spacing w:before="189" w:line="256" w:lineRule="auto"/>
        <w:ind w:left="119" w:right="578"/>
        <w:rPr>
          <w:rFonts w:ascii="Calibri Light"/>
          <w:color w:val="4472C4"/>
          <w:sz w:val="20"/>
        </w:rPr>
      </w:pPr>
      <w:r>
        <w:t>Any query related to data protection and compliance with the GDPR may be directed to the EA Information Governance Unit through the School Principal.</w:t>
      </w:r>
      <w:r w:rsidR="005C0654">
        <w:rPr>
          <w:rFonts w:ascii="Calibri Light"/>
          <w:color w:val="4472C4"/>
          <w:sz w:val="20"/>
        </w:rPr>
        <w:t xml:space="preserve"> </w:t>
      </w:r>
    </w:p>
    <w:p w:rsidR="00DC2C57" w:rsidRDefault="00DC2C57" w:rsidP="0033439C">
      <w:pPr>
        <w:spacing w:before="60"/>
        <w:rPr>
          <w:rFonts w:ascii="Calibri Light"/>
          <w:color w:val="4472C4"/>
          <w:sz w:val="20"/>
        </w:rPr>
      </w:pPr>
    </w:p>
    <w:sectPr w:rsidR="00DC2C57">
      <w:pgSz w:w="11910" w:h="16840"/>
      <w:pgMar w:top="0" w:right="1320" w:bottom="280" w:left="1320" w:header="720" w:footer="720" w:gutter="0"/>
      <w:pgBorders w:offsetFrom="page">
        <w:top w:val="single" w:sz="12" w:space="20" w:color="767171"/>
        <w:left w:val="single" w:sz="12" w:space="14" w:color="767171"/>
        <w:bottom w:val="single" w:sz="12" w:space="23" w:color="767171"/>
        <w:right w:val="single" w:sz="12" w:space="16" w:color="76717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8E" w:rsidRDefault="004E078E" w:rsidP="004E078E">
      <w:r>
        <w:separator/>
      </w:r>
    </w:p>
  </w:endnote>
  <w:endnote w:type="continuationSeparator" w:id="0">
    <w:p w:rsidR="004E078E" w:rsidRDefault="004E078E" w:rsidP="004E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654" w:rsidRPr="005C0654" w:rsidRDefault="005C0654">
    <w:pPr>
      <w:pStyle w:val="Footer"/>
      <w:rPr>
        <w:color w:val="17365D" w:themeColor="text2" w:themeShade="BF"/>
        <w:sz w:val="20"/>
      </w:rPr>
    </w:pPr>
    <w:r w:rsidRPr="005C0654">
      <w:rPr>
        <w:color w:val="17365D" w:themeColor="text2" w:themeShade="BF"/>
        <w:sz w:val="20"/>
      </w:rP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8E" w:rsidRDefault="004E078E" w:rsidP="004E078E">
      <w:r>
        <w:separator/>
      </w:r>
    </w:p>
  </w:footnote>
  <w:footnote w:type="continuationSeparator" w:id="0">
    <w:p w:rsidR="004E078E" w:rsidRDefault="004E078E" w:rsidP="004E0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B15A0"/>
    <w:multiLevelType w:val="hybridMultilevel"/>
    <w:tmpl w:val="80721FE0"/>
    <w:lvl w:ilvl="0" w:tplc="1A38263E">
      <w:numFmt w:val="bullet"/>
      <w:lvlText w:val=""/>
      <w:lvlJc w:val="left"/>
      <w:pPr>
        <w:ind w:left="840" w:hanging="356"/>
      </w:pPr>
      <w:rPr>
        <w:rFonts w:hint="default"/>
        <w:w w:val="100"/>
        <w:lang w:val="en-GB" w:eastAsia="en-GB" w:bidi="en-GB"/>
      </w:rPr>
    </w:lvl>
    <w:lvl w:ilvl="1" w:tplc="80A26688">
      <w:numFmt w:val="bullet"/>
      <w:lvlText w:val=""/>
      <w:lvlJc w:val="left"/>
      <w:pPr>
        <w:ind w:left="1560" w:hanging="358"/>
      </w:pPr>
      <w:rPr>
        <w:rFonts w:ascii="Symbol" w:eastAsia="Symbol" w:hAnsi="Symbol" w:cs="Symbol" w:hint="default"/>
        <w:w w:val="100"/>
        <w:sz w:val="22"/>
        <w:szCs w:val="22"/>
        <w:lang w:val="en-GB" w:eastAsia="en-GB" w:bidi="en-GB"/>
      </w:rPr>
    </w:lvl>
    <w:lvl w:ilvl="2" w:tplc="1046CF1E">
      <w:numFmt w:val="bullet"/>
      <w:lvlText w:val="•"/>
      <w:lvlJc w:val="left"/>
      <w:pPr>
        <w:ind w:left="2416" w:hanging="358"/>
      </w:pPr>
      <w:rPr>
        <w:rFonts w:hint="default"/>
        <w:lang w:val="en-GB" w:eastAsia="en-GB" w:bidi="en-GB"/>
      </w:rPr>
    </w:lvl>
    <w:lvl w:ilvl="3" w:tplc="580AE468">
      <w:numFmt w:val="bullet"/>
      <w:lvlText w:val="•"/>
      <w:lvlJc w:val="left"/>
      <w:pPr>
        <w:ind w:left="3272" w:hanging="358"/>
      </w:pPr>
      <w:rPr>
        <w:rFonts w:hint="default"/>
        <w:lang w:val="en-GB" w:eastAsia="en-GB" w:bidi="en-GB"/>
      </w:rPr>
    </w:lvl>
    <w:lvl w:ilvl="4" w:tplc="1D3E3BB0">
      <w:numFmt w:val="bullet"/>
      <w:lvlText w:val="•"/>
      <w:lvlJc w:val="left"/>
      <w:pPr>
        <w:ind w:left="4128" w:hanging="358"/>
      </w:pPr>
      <w:rPr>
        <w:rFonts w:hint="default"/>
        <w:lang w:val="en-GB" w:eastAsia="en-GB" w:bidi="en-GB"/>
      </w:rPr>
    </w:lvl>
    <w:lvl w:ilvl="5" w:tplc="38240910">
      <w:numFmt w:val="bullet"/>
      <w:lvlText w:val="•"/>
      <w:lvlJc w:val="left"/>
      <w:pPr>
        <w:ind w:left="4985" w:hanging="358"/>
      </w:pPr>
      <w:rPr>
        <w:rFonts w:hint="default"/>
        <w:lang w:val="en-GB" w:eastAsia="en-GB" w:bidi="en-GB"/>
      </w:rPr>
    </w:lvl>
    <w:lvl w:ilvl="6" w:tplc="2E68D6C8">
      <w:numFmt w:val="bullet"/>
      <w:lvlText w:val="•"/>
      <w:lvlJc w:val="left"/>
      <w:pPr>
        <w:ind w:left="5841" w:hanging="358"/>
      </w:pPr>
      <w:rPr>
        <w:rFonts w:hint="default"/>
        <w:lang w:val="en-GB" w:eastAsia="en-GB" w:bidi="en-GB"/>
      </w:rPr>
    </w:lvl>
    <w:lvl w:ilvl="7" w:tplc="34228812">
      <w:numFmt w:val="bullet"/>
      <w:lvlText w:val="•"/>
      <w:lvlJc w:val="left"/>
      <w:pPr>
        <w:ind w:left="6697" w:hanging="358"/>
      </w:pPr>
      <w:rPr>
        <w:rFonts w:hint="default"/>
        <w:lang w:val="en-GB" w:eastAsia="en-GB" w:bidi="en-GB"/>
      </w:rPr>
    </w:lvl>
    <w:lvl w:ilvl="8" w:tplc="A67ED8DA">
      <w:numFmt w:val="bullet"/>
      <w:lvlText w:val="•"/>
      <w:lvlJc w:val="left"/>
      <w:pPr>
        <w:ind w:left="7553" w:hanging="358"/>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0F"/>
    <w:rsid w:val="00046EEF"/>
    <w:rsid w:val="00250C5B"/>
    <w:rsid w:val="00277A0F"/>
    <w:rsid w:val="002E2FB4"/>
    <w:rsid w:val="0033439C"/>
    <w:rsid w:val="004A3E04"/>
    <w:rsid w:val="004E078E"/>
    <w:rsid w:val="005C0654"/>
    <w:rsid w:val="006D2F0F"/>
    <w:rsid w:val="00A17FA4"/>
    <w:rsid w:val="00A24D92"/>
    <w:rsid w:val="00A30B39"/>
    <w:rsid w:val="00BD53C5"/>
    <w:rsid w:val="00D07DD6"/>
    <w:rsid w:val="00DC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3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20"/>
      <w:outlineLvl w:val="0"/>
    </w:pPr>
    <w:rPr>
      <w:b/>
      <w:bCs/>
      <w:sz w:val="28"/>
      <w:szCs w:val="28"/>
      <w:u w:val="single" w:color="000000"/>
    </w:rPr>
  </w:style>
  <w:style w:type="paragraph" w:styleId="Heading2">
    <w:name w:val="heading 2"/>
    <w:basedOn w:val="Normal"/>
    <w:uiPriority w:val="1"/>
    <w:qFormat/>
    <w:pPr>
      <w:spacing w:before="56"/>
      <w:ind w:left="120"/>
      <w:outlineLvl w:val="1"/>
    </w:pPr>
    <w:rPr>
      <w:b/>
      <w:bCs/>
      <w:u w:val="single" w:color="000000"/>
    </w:rPr>
  </w:style>
  <w:style w:type="paragraph" w:styleId="Heading3">
    <w:name w:val="heading 3"/>
    <w:basedOn w:val="Normal"/>
    <w:uiPriority w:val="1"/>
    <w:qFormat/>
    <w:pPr>
      <w:spacing w:before="54"/>
      <w:ind w:left="119" w:right="285"/>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078E"/>
    <w:pPr>
      <w:tabs>
        <w:tab w:val="center" w:pos="4513"/>
        <w:tab w:val="right" w:pos="9026"/>
      </w:tabs>
    </w:pPr>
  </w:style>
  <w:style w:type="character" w:customStyle="1" w:styleId="HeaderChar">
    <w:name w:val="Header Char"/>
    <w:basedOn w:val="DefaultParagraphFont"/>
    <w:link w:val="Header"/>
    <w:uiPriority w:val="99"/>
    <w:rsid w:val="004E078E"/>
    <w:rPr>
      <w:rFonts w:ascii="Calibri" w:eastAsia="Calibri" w:hAnsi="Calibri" w:cs="Calibri"/>
      <w:lang w:val="en-GB" w:eastAsia="en-GB" w:bidi="en-GB"/>
    </w:rPr>
  </w:style>
  <w:style w:type="paragraph" w:styleId="Footer">
    <w:name w:val="footer"/>
    <w:basedOn w:val="Normal"/>
    <w:link w:val="FooterChar"/>
    <w:uiPriority w:val="99"/>
    <w:unhideWhenUsed/>
    <w:rsid w:val="004E078E"/>
    <w:pPr>
      <w:tabs>
        <w:tab w:val="center" w:pos="4513"/>
        <w:tab w:val="right" w:pos="9026"/>
      </w:tabs>
    </w:pPr>
  </w:style>
  <w:style w:type="character" w:customStyle="1" w:styleId="FooterChar">
    <w:name w:val="Footer Char"/>
    <w:basedOn w:val="DefaultParagraphFont"/>
    <w:link w:val="Footer"/>
    <w:uiPriority w:val="99"/>
    <w:rsid w:val="004E078E"/>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85E1-04AC-45A0-AFBA-2B0B21F3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2020-10-15T15:37:00Z</dcterms:created>
  <dcterms:modified xsi:type="dcterms:W3CDTF">2020-10-15T15:37:00Z</dcterms:modified>
</cp:coreProperties>
</file>